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6777" w14:textId="7152ADA5" w:rsidR="00B51568" w:rsidRPr="0064106D" w:rsidRDefault="00B51568" w:rsidP="00ED28A1">
      <w:pPr>
        <w:spacing w:before="120" w:after="360"/>
        <w:jc w:val="center"/>
        <w:rPr>
          <w:b/>
          <w:bCs/>
          <w:color w:val="002060"/>
          <w:sz w:val="28"/>
          <w:szCs w:val="36"/>
        </w:rPr>
      </w:pPr>
      <w:r w:rsidRPr="0064106D">
        <w:rPr>
          <w:b/>
          <w:bCs/>
          <w:color w:val="002060"/>
          <w:sz w:val="28"/>
          <w:szCs w:val="36"/>
        </w:rPr>
        <w:t>Evaluación de la Comisión Europea de los Planes Nacionales de Energía y Clima (</w:t>
      </w:r>
      <w:proofErr w:type="spellStart"/>
      <w:r w:rsidRPr="0064106D">
        <w:rPr>
          <w:b/>
          <w:bCs/>
          <w:color w:val="002060"/>
          <w:sz w:val="28"/>
          <w:szCs w:val="36"/>
        </w:rPr>
        <w:t>PNIECs</w:t>
      </w:r>
      <w:proofErr w:type="spellEnd"/>
      <w:r w:rsidRPr="0064106D">
        <w:rPr>
          <w:b/>
          <w:bCs/>
          <w:color w:val="002060"/>
          <w:sz w:val="28"/>
          <w:szCs w:val="36"/>
        </w:rPr>
        <w:t>)</w:t>
      </w:r>
    </w:p>
    <w:p w14:paraId="6DA205E5" w14:textId="4E94B7DD" w:rsidR="00B51568" w:rsidRPr="00172698" w:rsidRDefault="00B51568" w:rsidP="00BF676F">
      <w:pPr>
        <w:spacing w:before="120" w:after="120"/>
        <w:rPr>
          <w:rFonts w:cs="Poppins"/>
          <w:sz w:val="18"/>
          <w:szCs w:val="18"/>
        </w:rPr>
      </w:pPr>
      <w:r w:rsidRPr="00172698">
        <w:rPr>
          <w:rFonts w:cs="Poppins"/>
          <w:sz w:val="18"/>
          <w:szCs w:val="18"/>
        </w:rPr>
        <w:t>Los Planes Nacionales de Energía y Clima (</w:t>
      </w:r>
      <w:r>
        <w:rPr>
          <w:rFonts w:cs="Poppins"/>
          <w:sz w:val="18"/>
          <w:szCs w:val="18"/>
        </w:rPr>
        <w:t>PNIEC</w:t>
      </w:r>
      <w:r w:rsidRPr="00172698">
        <w:rPr>
          <w:rFonts w:cs="Poppins"/>
          <w:sz w:val="18"/>
          <w:szCs w:val="18"/>
        </w:rPr>
        <w:t xml:space="preserve">) actualizados brindan a los Estados miembros el marco adecuado para cumplir con sus compromisos y alcanzar los objetivos de 2030, que incluyen una reducción de las emisiones </w:t>
      </w:r>
      <w:r w:rsidR="00101F73">
        <w:rPr>
          <w:rFonts w:cs="Poppins"/>
          <w:sz w:val="18"/>
          <w:szCs w:val="18"/>
        </w:rPr>
        <w:t xml:space="preserve">netas </w:t>
      </w:r>
      <w:r w:rsidRPr="00172698">
        <w:rPr>
          <w:rFonts w:cs="Poppins"/>
          <w:sz w:val="18"/>
          <w:szCs w:val="18"/>
        </w:rPr>
        <w:t xml:space="preserve">de gases de efecto invernadero (GEI) de al menos un 55%; una participación mínima del 42.5% de </w:t>
      </w:r>
      <w:r w:rsidR="00101F73">
        <w:rPr>
          <w:rFonts w:cs="Poppins"/>
          <w:sz w:val="18"/>
          <w:szCs w:val="18"/>
        </w:rPr>
        <w:t xml:space="preserve">las </w:t>
      </w:r>
      <w:r w:rsidRPr="00172698">
        <w:rPr>
          <w:rFonts w:cs="Poppins"/>
          <w:sz w:val="18"/>
          <w:szCs w:val="18"/>
        </w:rPr>
        <w:t>energía</w:t>
      </w:r>
      <w:r w:rsidR="00101F73">
        <w:rPr>
          <w:rFonts w:cs="Poppins"/>
          <w:sz w:val="18"/>
          <w:szCs w:val="18"/>
        </w:rPr>
        <w:t>s</w:t>
      </w:r>
      <w:r w:rsidRPr="00172698">
        <w:rPr>
          <w:rFonts w:cs="Poppins"/>
          <w:sz w:val="18"/>
          <w:szCs w:val="18"/>
        </w:rPr>
        <w:t xml:space="preserve"> renovable</w:t>
      </w:r>
      <w:r w:rsidR="00101F73">
        <w:rPr>
          <w:rFonts w:cs="Poppins"/>
          <w:sz w:val="18"/>
          <w:szCs w:val="18"/>
        </w:rPr>
        <w:t>s en los usos finales de la energía (</w:t>
      </w:r>
      <w:r w:rsidRPr="00172698">
        <w:rPr>
          <w:rFonts w:cs="Poppins"/>
          <w:sz w:val="18"/>
          <w:szCs w:val="18"/>
        </w:rPr>
        <w:t xml:space="preserve">con </w:t>
      </w:r>
      <w:r w:rsidR="00101F73">
        <w:rPr>
          <w:rFonts w:cs="Poppins"/>
          <w:sz w:val="18"/>
          <w:szCs w:val="18"/>
        </w:rPr>
        <w:t>un objetivo aspiracional</w:t>
      </w:r>
      <w:r w:rsidRPr="00172698">
        <w:rPr>
          <w:rFonts w:cs="Poppins"/>
          <w:sz w:val="18"/>
          <w:szCs w:val="18"/>
        </w:rPr>
        <w:t xml:space="preserve"> </w:t>
      </w:r>
      <w:r w:rsidR="00101F73">
        <w:rPr>
          <w:rFonts w:cs="Poppins"/>
          <w:sz w:val="18"/>
          <w:szCs w:val="18"/>
        </w:rPr>
        <w:t>d</w:t>
      </w:r>
      <w:r w:rsidRPr="00172698">
        <w:rPr>
          <w:rFonts w:cs="Poppins"/>
          <w:sz w:val="18"/>
          <w:szCs w:val="18"/>
        </w:rPr>
        <w:t>el 45%</w:t>
      </w:r>
      <w:r w:rsidR="00101F73">
        <w:rPr>
          <w:rFonts w:cs="Poppins"/>
          <w:sz w:val="18"/>
          <w:szCs w:val="18"/>
        </w:rPr>
        <w:t>)</w:t>
      </w:r>
      <w:r w:rsidRPr="00172698">
        <w:rPr>
          <w:rFonts w:cs="Poppins"/>
          <w:sz w:val="18"/>
          <w:szCs w:val="18"/>
        </w:rPr>
        <w:t xml:space="preserve">; y </w:t>
      </w:r>
      <w:r w:rsidR="00101F73">
        <w:rPr>
          <w:rFonts w:cs="Poppins"/>
          <w:sz w:val="18"/>
          <w:szCs w:val="18"/>
        </w:rPr>
        <w:t xml:space="preserve">una </w:t>
      </w:r>
      <w:r w:rsidRPr="00172698">
        <w:rPr>
          <w:rFonts w:cs="Poppins"/>
          <w:sz w:val="18"/>
          <w:szCs w:val="18"/>
        </w:rPr>
        <w:t>reduc</w:t>
      </w:r>
      <w:r w:rsidR="00101F73">
        <w:rPr>
          <w:rFonts w:cs="Poppins"/>
          <w:sz w:val="18"/>
          <w:szCs w:val="18"/>
        </w:rPr>
        <w:t>ción</w:t>
      </w:r>
      <w:r w:rsidRPr="00172698">
        <w:rPr>
          <w:rFonts w:cs="Poppins"/>
          <w:sz w:val="18"/>
          <w:szCs w:val="18"/>
        </w:rPr>
        <w:t xml:space="preserve"> </w:t>
      </w:r>
      <w:r w:rsidR="00101F73">
        <w:rPr>
          <w:rFonts w:cs="Poppins"/>
          <w:sz w:val="18"/>
          <w:szCs w:val="18"/>
        </w:rPr>
        <w:t>d</w:t>
      </w:r>
      <w:r w:rsidRPr="00172698">
        <w:rPr>
          <w:rFonts w:cs="Poppins"/>
          <w:sz w:val="18"/>
          <w:szCs w:val="18"/>
        </w:rPr>
        <w:t xml:space="preserve">el consumo final de </w:t>
      </w:r>
      <w:r w:rsidR="00101F73">
        <w:rPr>
          <w:rFonts w:cs="Poppins"/>
          <w:sz w:val="18"/>
          <w:szCs w:val="18"/>
        </w:rPr>
        <w:t xml:space="preserve">la </w:t>
      </w:r>
      <w:r w:rsidRPr="00172698">
        <w:rPr>
          <w:rFonts w:cs="Poppins"/>
          <w:sz w:val="18"/>
          <w:szCs w:val="18"/>
        </w:rPr>
        <w:t xml:space="preserve">energía en la UE </w:t>
      </w:r>
      <w:r w:rsidR="00101F73">
        <w:rPr>
          <w:rFonts w:cs="Poppins"/>
          <w:sz w:val="18"/>
          <w:szCs w:val="18"/>
        </w:rPr>
        <w:t>de</w:t>
      </w:r>
      <w:r w:rsidRPr="00172698">
        <w:rPr>
          <w:rFonts w:cs="Poppins"/>
          <w:sz w:val="18"/>
          <w:szCs w:val="18"/>
        </w:rPr>
        <w:t xml:space="preserve"> un </w:t>
      </w:r>
      <w:r w:rsidR="009642A2">
        <w:rPr>
          <w:rFonts w:cs="Poppins"/>
          <w:sz w:val="18"/>
          <w:szCs w:val="18"/>
        </w:rPr>
        <w:t>11,7</w:t>
      </w:r>
      <w:r w:rsidRPr="00172698">
        <w:rPr>
          <w:rFonts w:cs="Poppins"/>
          <w:sz w:val="18"/>
          <w:szCs w:val="18"/>
        </w:rPr>
        <w:t>%</w:t>
      </w:r>
      <w:r w:rsidR="00BF676F">
        <w:rPr>
          <w:rFonts w:cs="Poppins"/>
          <w:sz w:val="18"/>
          <w:szCs w:val="18"/>
        </w:rPr>
        <w:t xml:space="preserve"> respecto al escenario </w:t>
      </w:r>
      <w:r w:rsidR="009642A2">
        <w:rPr>
          <w:rFonts w:cs="Poppins"/>
          <w:sz w:val="18"/>
          <w:szCs w:val="18"/>
        </w:rPr>
        <w:t xml:space="preserve">base </w:t>
      </w:r>
      <w:r w:rsidR="00101F73">
        <w:rPr>
          <w:rFonts w:cs="Poppins"/>
          <w:sz w:val="18"/>
          <w:szCs w:val="18"/>
        </w:rPr>
        <w:t>para 2030 (</w:t>
      </w:r>
      <w:r w:rsidR="009642A2">
        <w:rPr>
          <w:rFonts w:cs="Poppins"/>
          <w:sz w:val="18"/>
          <w:szCs w:val="18"/>
        </w:rPr>
        <w:t>proyectado en 2020</w:t>
      </w:r>
      <w:r w:rsidR="00101F73">
        <w:rPr>
          <w:rFonts w:cs="Poppins"/>
          <w:sz w:val="18"/>
          <w:szCs w:val="18"/>
        </w:rPr>
        <w:t>)</w:t>
      </w:r>
      <w:r w:rsidR="009642A2">
        <w:rPr>
          <w:rFonts w:cs="Poppins"/>
          <w:sz w:val="18"/>
          <w:szCs w:val="18"/>
        </w:rPr>
        <w:t>.</w:t>
      </w:r>
    </w:p>
    <w:p w14:paraId="7BC921DB" w14:textId="3A5E88B4" w:rsidR="00B51568" w:rsidRPr="00172698" w:rsidRDefault="00B51568" w:rsidP="00BF676F">
      <w:pPr>
        <w:spacing w:before="120" w:after="120"/>
        <w:rPr>
          <w:rFonts w:cs="Poppins"/>
          <w:sz w:val="18"/>
          <w:szCs w:val="18"/>
        </w:rPr>
      </w:pPr>
      <w:r w:rsidRPr="00172698">
        <w:rPr>
          <w:rFonts w:cs="Poppins"/>
          <w:sz w:val="18"/>
          <w:szCs w:val="18"/>
        </w:rPr>
        <w:t xml:space="preserve">La Comisión ha </w:t>
      </w:r>
      <w:hyperlink r:id="rId7" w:history="1">
        <w:r w:rsidRPr="00172698">
          <w:rPr>
            <w:rStyle w:val="Hipervnculo"/>
            <w:rFonts w:cs="Poppins"/>
            <w:sz w:val="18"/>
            <w:szCs w:val="18"/>
          </w:rPr>
          <w:t>evaluado</w:t>
        </w:r>
      </w:hyperlink>
      <w:r w:rsidRPr="00172698">
        <w:rPr>
          <w:rFonts w:cs="Poppins"/>
          <w:sz w:val="18"/>
          <w:szCs w:val="18"/>
        </w:rPr>
        <w:t xml:space="preserve"> los 21 planes actualizados presentados por los Estados miembros. Aunque la mayoría han presentado sus planes actualizados, la Comisión lamenta la demora significativa en la presentación de varios planes, lo que ha comprometido el proceso, </w:t>
      </w:r>
      <w:r w:rsidRPr="00B51568">
        <w:rPr>
          <w:rFonts w:cs="Poppins"/>
          <w:b/>
          <w:bCs/>
          <w:sz w:val="18"/>
          <w:szCs w:val="18"/>
        </w:rPr>
        <w:t>instando a todos los Estados miembros a respetar el plazo de junio de 2024</w:t>
      </w:r>
      <w:r w:rsidRPr="00172698">
        <w:rPr>
          <w:rFonts w:cs="Poppins"/>
          <w:sz w:val="18"/>
          <w:szCs w:val="18"/>
        </w:rPr>
        <w:t xml:space="preserve"> para la presentación de los planes finales.</w:t>
      </w:r>
    </w:p>
    <w:p w14:paraId="6E24D367" w14:textId="5D30B59F" w:rsidR="00B51568" w:rsidRPr="00172698" w:rsidRDefault="00B51568" w:rsidP="00BF676F">
      <w:pPr>
        <w:spacing w:before="120" w:after="120"/>
        <w:rPr>
          <w:rFonts w:cs="Poppins"/>
          <w:sz w:val="18"/>
          <w:szCs w:val="18"/>
        </w:rPr>
      </w:pPr>
      <w:r w:rsidRPr="00172698">
        <w:rPr>
          <w:rFonts w:cs="Poppins"/>
          <w:sz w:val="18"/>
          <w:szCs w:val="18"/>
        </w:rPr>
        <w:t>La evaluación de la Comisión revela qu</w:t>
      </w:r>
      <w:r w:rsidR="00101F73">
        <w:rPr>
          <w:rFonts w:cs="Poppins"/>
          <w:sz w:val="18"/>
          <w:szCs w:val="18"/>
        </w:rPr>
        <w:t>e, a pesar del esfuerzo y compromiso de los Estados miembro</w:t>
      </w:r>
      <w:r w:rsidRPr="00172698">
        <w:rPr>
          <w:rFonts w:cs="Poppins"/>
          <w:sz w:val="18"/>
          <w:szCs w:val="18"/>
        </w:rPr>
        <w:t xml:space="preserve">, aún existen brechas de ambición para alcanzar los objetivos y metas incrementados para 2030. </w:t>
      </w:r>
      <w:r w:rsidR="00101F73" w:rsidRPr="00ED28A1">
        <w:rPr>
          <w:rFonts w:cs="Poppins"/>
          <w:b/>
          <w:bCs/>
          <w:sz w:val="18"/>
          <w:szCs w:val="18"/>
        </w:rPr>
        <w:t xml:space="preserve">Concretamente, la evaluación concluye que las medidas existentes y las previstas en los </w:t>
      </w:r>
      <w:proofErr w:type="spellStart"/>
      <w:r w:rsidR="00101F73" w:rsidRPr="00ED28A1">
        <w:rPr>
          <w:rFonts w:cs="Poppins"/>
          <w:b/>
          <w:bCs/>
          <w:sz w:val="18"/>
          <w:szCs w:val="18"/>
        </w:rPr>
        <w:t>PNIECs</w:t>
      </w:r>
      <w:proofErr w:type="spellEnd"/>
      <w:r w:rsidR="00101F73" w:rsidRPr="00ED28A1">
        <w:rPr>
          <w:rFonts w:cs="Poppins"/>
          <w:b/>
          <w:bCs/>
          <w:sz w:val="18"/>
          <w:szCs w:val="18"/>
        </w:rPr>
        <w:t xml:space="preserve"> conducirían a una reducción de las emisiones netas de GEI del 51% en 2030 (en comparación con los niveles de 1990), 4 puntos menos que el objetivo del 55%.</w:t>
      </w:r>
      <w:r w:rsidR="00101F73">
        <w:rPr>
          <w:rFonts w:cs="Poppins"/>
          <w:sz w:val="18"/>
          <w:szCs w:val="18"/>
        </w:rPr>
        <w:t xml:space="preserve"> </w:t>
      </w:r>
      <w:r w:rsidRPr="00172698">
        <w:rPr>
          <w:rFonts w:cs="Poppins"/>
          <w:sz w:val="18"/>
          <w:szCs w:val="18"/>
        </w:rPr>
        <w:t>Esto no sorprende, dada la corta duración entre la finalización del paquete "</w:t>
      </w:r>
      <w:proofErr w:type="spellStart"/>
      <w:r w:rsidRPr="00172698">
        <w:rPr>
          <w:rFonts w:cs="Poppins"/>
          <w:sz w:val="18"/>
          <w:szCs w:val="18"/>
        </w:rPr>
        <w:t>Fit</w:t>
      </w:r>
      <w:proofErr w:type="spellEnd"/>
      <w:r w:rsidRPr="00172698">
        <w:rPr>
          <w:rFonts w:cs="Poppins"/>
          <w:sz w:val="18"/>
          <w:szCs w:val="18"/>
        </w:rPr>
        <w:t xml:space="preserve"> </w:t>
      </w:r>
      <w:proofErr w:type="spellStart"/>
      <w:r w:rsidRPr="00172698">
        <w:rPr>
          <w:rFonts w:cs="Poppins"/>
          <w:sz w:val="18"/>
          <w:szCs w:val="18"/>
        </w:rPr>
        <w:t>for</w:t>
      </w:r>
      <w:proofErr w:type="spellEnd"/>
      <w:r w:rsidRPr="00172698">
        <w:rPr>
          <w:rFonts w:cs="Poppins"/>
          <w:sz w:val="18"/>
          <w:szCs w:val="18"/>
        </w:rPr>
        <w:t xml:space="preserve"> 55" y la presentación de los </w:t>
      </w:r>
      <w:proofErr w:type="spellStart"/>
      <w:r>
        <w:rPr>
          <w:rFonts w:cs="Poppins"/>
          <w:sz w:val="18"/>
          <w:szCs w:val="18"/>
        </w:rPr>
        <w:t>PNIECs</w:t>
      </w:r>
      <w:proofErr w:type="spellEnd"/>
      <w:r w:rsidRPr="00172698">
        <w:rPr>
          <w:rFonts w:cs="Poppins"/>
          <w:sz w:val="18"/>
          <w:szCs w:val="18"/>
        </w:rPr>
        <w:t xml:space="preserve"> actualizados. </w:t>
      </w:r>
      <w:r w:rsidR="00B57637">
        <w:rPr>
          <w:rFonts w:cs="Poppins"/>
          <w:sz w:val="18"/>
          <w:szCs w:val="18"/>
        </w:rPr>
        <w:t xml:space="preserve"> </w:t>
      </w:r>
    </w:p>
    <w:p w14:paraId="15CF1892" w14:textId="30B47618" w:rsidR="00B51568" w:rsidRPr="00172698" w:rsidRDefault="00B51568" w:rsidP="00BF676F">
      <w:pPr>
        <w:spacing w:before="120" w:after="120"/>
        <w:rPr>
          <w:rFonts w:cs="Poppins"/>
          <w:sz w:val="18"/>
          <w:szCs w:val="18"/>
        </w:rPr>
      </w:pPr>
      <w:r w:rsidRPr="00172698">
        <w:rPr>
          <w:rFonts w:cs="Poppins"/>
          <w:sz w:val="18"/>
          <w:szCs w:val="18"/>
        </w:rPr>
        <w:t xml:space="preserve">Junto con esta Comunicación, la Comisión publica evaluaciones individuales y recomendaciones específicas para 21 Estados miembros. Estas recomendaciones abordan los elementos faltantes que deben incluirse en los </w:t>
      </w:r>
      <w:proofErr w:type="spellStart"/>
      <w:r w:rsidR="00B57637">
        <w:rPr>
          <w:rFonts w:cs="Poppins"/>
          <w:sz w:val="18"/>
          <w:szCs w:val="18"/>
        </w:rPr>
        <w:t>PNIECs</w:t>
      </w:r>
      <w:proofErr w:type="spellEnd"/>
      <w:r w:rsidRPr="00172698">
        <w:rPr>
          <w:rFonts w:cs="Poppins"/>
          <w:sz w:val="18"/>
          <w:szCs w:val="18"/>
        </w:rPr>
        <w:t xml:space="preserve"> finales para ayudar a los Estados miembros a cumplir con los objetivos climáticos y energéticos más recientes derivados del paquete "</w:t>
      </w:r>
      <w:proofErr w:type="spellStart"/>
      <w:r w:rsidRPr="00172698">
        <w:rPr>
          <w:rFonts w:cs="Poppins"/>
          <w:sz w:val="18"/>
          <w:szCs w:val="18"/>
        </w:rPr>
        <w:t>Fit</w:t>
      </w:r>
      <w:proofErr w:type="spellEnd"/>
      <w:r w:rsidRPr="00172698">
        <w:rPr>
          <w:rFonts w:cs="Poppins"/>
          <w:sz w:val="18"/>
          <w:szCs w:val="18"/>
        </w:rPr>
        <w:t xml:space="preserve"> </w:t>
      </w:r>
      <w:proofErr w:type="spellStart"/>
      <w:r w:rsidRPr="00172698">
        <w:rPr>
          <w:rFonts w:cs="Poppins"/>
          <w:sz w:val="18"/>
          <w:szCs w:val="18"/>
        </w:rPr>
        <w:t>for</w:t>
      </w:r>
      <w:proofErr w:type="spellEnd"/>
      <w:r w:rsidRPr="00172698">
        <w:rPr>
          <w:rFonts w:cs="Poppins"/>
          <w:sz w:val="18"/>
          <w:szCs w:val="18"/>
        </w:rPr>
        <w:t xml:space="preserve"> 55" y </w:t>
      </w:r>
      <w:proofErr w:type="spellStart"/>
      <w:r w:rsidRPr="00172698">
        <w:rPr>
          <w:rFonts w:cs="Poppins"/>
          <w:sz w:val="18"/>
          <w:szCs w:val="18"/>
        </w:rPr>
        <w:t>REPowerEU</w:t>
      </w:r>
      <w:proofErr w:type="spellEnd"/>
      <w:r w:rsidRPr="00172698">
        <w:rPr>
          <w:rFonts w:cs="Poppins"/>
          <w:sz w:val="18"/>
          <w:szCs w:val="18"/>
        </w:rPr>
        <w:t>.</w:t>
      </w:r>
    </w:p>
    <w:p w14:paraId="44EE6025" w14:textId="3907DD62" w:rsidR="00B51568" w:rsidRPr="00172698" w:rsidRDefault="00B51568" w:rsidP="00BF676F">
      <w:pPr>
        <w:spacing w:before="120" w:after="120"/>
        <w:rPr>
          <w:rFonts w:cs="Poppins"/>
          <w:sz w:val="18"/>
          <w:szCs w:val="18"/>
        </w:rPr>
      </w:pPr>
      <w:r w:rsidRPr="00172698">
        <w:rPr>
          <w:rFonts w:cs="Poppins"/>
          <w:sz w:val="18"/>
          <w:szCs w:val="18"/>
        </w:rPr>
        <w:t xml:space="preserve">De acuerdo con la Ley Europea del Clima, la Comisión también evaluó la ambición colectiva y el progreso realizado por los 27 Estados miembros para alcanzar la neutralidad climática de la UE para 2050, y el progreso colectivo en la adaptación al cambio climático. </w:t>
      </w:r>
    </w:p>
    <w:p w14:paraId="07EB53BF" w14:textId="0B38086D" w:rsidR="00B51568" w:rsidRPr="00172698" w:rsidRDefault="00B51568" w:rsidP="00BF676F">
      <w:pPr>
        <w:spacing w:before="120" w:after="120"/>
        <w:rPr>
          <w:rFonts w:cs="Poppins"/>
          <w:sz w:val="18"/>
          <w:szCs w:val="18"/>
        </w:rPr>
      </w:pPr>
      <w:r w:rsidRPr="00172698">
        <w:rPr>
          <w:rFonts w:cs="Poppins"/>
          <w:sz w:val="18"/>
          <w:szCs w:val="18"/>
        </w:rPr>
        <w:t xml:space="preserve">La evaluación global agregada de los </w:t>
      </w:r>
      <w:proofErr w:type="spellStart"/>
      <w:r>
        <w:rPr>
          <w:rFonts w:cs="Poppins"/>
          <w:sz w:val="18"/>
          <w:szCs w:val="18"/>
        </w:rPr>
        <w:t>PNIECs</w:t>
      </w:r>
      <w:proofErr w:type="spellEnd"/>
      <w:r w:rsidRPr="00172698">
        <w:rPr>
          <w:rFonts w:cs="Poppins"/>
          <w:sz w:val="18"/>
          <w:szCs w:val="18"/>
        </w:rPr>
        <w:t xml:space="preserve"> actualizados es generalmente positiva. Los NECP muestran el firme compromiso de los Estados miembros con la planificación y el monitoreo sólidos en materia de energía y clima, y su determinación para intensificar la acción a nivel nacional y regional, lo cual es necesario para cumplir con los objetivos políticos acordados en la agenda de energía y clima.</w:t>
      </w:r>
    </w:p>
    <w:p w14:paraId="42C64D24" w14:textId="65F4AC5F" w:rsidR="00B51568" w:rsidRPr="00172698" w:rsidRDefault="00B51568" w:rsidP="00BF676F">
      <w:pPr>
        <w:spacing w:before="120" w:after="120"/>
        <w:rPr>
          <w:rFonts w:cs="Poppins"/>
          <w:sz w:val="18"/>
          <w:szCs w:val="18"/>
        </w:rPr>
      </w:pPr>
      <w:r w:rsidRPr="00172698">
        <w:rPr>
          <w:rFonts w:cs="Poppins"/>
          <w:sz w:val="18"/>
          <w:szCs w:val="18"/>
        </w:rPr>
        <w:t xml:space="preserve">Sin embargo, la evaluación también identifica varias brechas, tanto en términos de mantener la ambición general de la UE como en términos de cumplir con los requisitos específicos establecidos en la legislación de la UE. </w:t>
      </w:r>
      <w:r>
        <w:rPr>
          <w:rFonts w:cs="Poppins"/>
          <w:sz w:val="18"/>
          <w:szCs w:val="18"/>
        </w:rPr>
        <w:t>Considera que e</w:t>
      </w:r>
      <w:r w:rsidRPr="00172698">
        <w:rPr>
          <w:rFonts w:cs="Poppins"/>
          <w:sz w:val="18"/>
          <w:szCs w:val="18"/>
        </w:rPr>
        <w:t>sto es motivo de seria preocupación y afecta la credibilidad de muchos Estados miembros.</w:t>
      </w:r>
      <w:r w:rsidR="00B57637">
        <w:rPr>
          <w:rFonts w:cs="Poppins"/>
          <w:sz w:val="18"/>
          <w:szCs w:val="18"/>
        </w:rPr>
        <w:t xml:space="preserve"> </w:t>
      </w:r>
    </w:p>
    <w:p w14:paraId="4C8A34C5" w14:textId="2336B153" w:rsidR="00B51568" w:rsidRPr="00172698" w:rsidRDefault="00B51568" w:rsidP="00BF676F">
      <w:pPr>
        <w:spacing w:before="120" w:after="120"/>
        <w:rPr>
          <w:rFonts w:cs="Poppins"/>
          <w:sz w:val="18"/>
          <w:szCs w:val="18"/>
        </w:rPr>
      </w:pPr>
      <w:r w:rsidRPr="00172698">
        <w:rPr>
          <w:rFonts w:cs="Poppins"/>
          <w:sz w:val="18"/>
          <w:szCs w:val="18"/>
        </w:rPr>
        <w:t>Para apoyar la finalización de los planes, pero también su implementación efectiva, la Comisión intensificará los contactos con los Estados miembros de manera individual y utilizará foros relevantes para facilitar el intercambio de mejores prácticas, incluyendo temas transversales como inversiones y planificación de redes, siguiendo el Plan de Redes</w:t>
      </w:r>
      <w:r w:rsidR="00101F73">
        <w:rPr>
          <w:rFonts w:cs="Poppins"/>
          <w:sz w:val="18"/>
          <w:szCs w:val="18"/>
        </w:rPr>
        <w:t xml:space="preserve"> Eléctricas recientemente presentado</w:t>
      </w:r>
      <w:r w:rsidRPr="00172698">
        <w:rPr>
          <w:rFonts w:cs="Poppins"/>
          <w:sz w:val="18"/>
          <w:szCs w:val="18"/>
        </w:rPr>
        <w:t xml:space="preserve"> </w:t>
      </w:r>
      <w:r w:rsidR="00101F73">
        <w:rPr>
          <w:rFonts w:cs="Poppins"/>
          <w:sz w:val="18"/>
          <w:szCs w:val="18"/>
        </w:rPr>
        <w:t>por</w:t>
      </w:r>
      <w:r w:rsidRPr="00172698">
        <w:rPr>
          <w:rFonts w:cs="Poppins"/>
          <w:sz w:val="18"/>
          <w:szCs w:val="18"/>
        </w:rPr>
        <w:t xml:space="preserve"> la Comisión. La Comisión mantendrá un diálogo cercano con el Parlamento Europeo y el Consejo sobre el progreso alcanzado en todas las dimensiones de las políticas de energía y clima.</w:t>
      </w:r>
    </w:p>
    <w:p w14:paraId="08FE864A" w14:textId="496EE49A" w:rsidR="00B51568" w:rsidRPr="00B51568" w:rsidRDefault="00101F73" w:rsidP="00BF676F">
      <w:pPr>
        <w:spacing w:before="120" w:after="120"/>
        <w:rPr>
          <w:rFonts w:cs="Poppins"/>
          <w:sz w:val="18"/>
          <w:szCs w:val="18"/>
        </w:rPr>
      </w:pPr>
      <w:r>
        <w:rPr>
          <w:rFonts w:cs="Poppins"/>
          <w:sz w:val="18"/>
          <w:szCs w:val="18"/>
        </w:rPr>
        <w:t xml:space="preserve">Además de la conclusión general de que con los </w:t>
      </w:r>
      <w:proofErr w:type="spellStart"/>
      <w:r>
        <w:rPr>
          <w:rFonts w:cs="Poppins"/>
          <w:sz w:val="18"/>
          <w:szCs w:val="18"/>
        </w:rPr>
        <w:t>PNIECs</w:t>
      </w:r>
      <w:proofErr w:type="spellEnd"/>
      <w:r>
        <w:rPr>
          <w:rFonts w:cs="Poppins"/>
          <w:sz w:val="18"/>
          <w:szCs w:val="18"/>
        </w:rPr>
        <w:t xml:space="preserve"> actuales no se alcanza </w:t>
      </w:r>
      <w:r w:rsidR="002E0EC3">
        <w:rPr>
          <w:rFonts w:cs="Poppins"/>
          <w:sz w:val="18"/>
          <w:szCs w:val="18"/>
        </w:rPr>
        <w:t>una reducción de</w:t>
      </w:r>
      <w:r>
        <w:rPr>
          <w:rFonts w:cs="Poppins"/>
          <w:sz w:val="18"/>
          <w:szCs w:val="18"/>
        </w:rPr>
        <w:t xml:space="preserve"> GEI del 55%, l</w:t>
      </w:r>
      <w:r w:rsidR="00B51568" w:rsidRPr="00B51568">
        <w:rPr>
          <w:rFonts w:cs="Poppins"/>
          <w:sz w:val="18"/>
          <w:szCs w:val="18"/>
        </w:rPr>
        <w:t xml:space="preserve">a evaluación de la Comisión </w:t>
      </w:r>
      <w:r>
        <w:rPr>
          <w:rFonts w:cs="Poppins"/>
          <w:sz w:val="18"/>
          <w:szCs w:val="18"/>
        </w:rPr>
        <w:t>también destaca lo siguiente</w:t>
      </w:r>
      <w:r w:rsidR="00B51568" w:rsidRPr="00B51568">
        <w:rPr>
          <w:rFonts w:cs="Poppins"/>
          <w:sz w:val="18"/>
          <w:szCs w:val="18"/>
        </w:rPr>
        <w:t>:</w:t>
      </w:r>
    </w:p>
    <w:p w14:paraId="60552D77" w14:textId="2A23E4A6" w:rsidR="00B51568" w:rsidRPr="00101F73" w:rsidRDefault="00B57637" w:rsidP="00BF676F">
      <w:pPr>
        <w:pStyle w:val="Prrafodelista"/>
        <w:numPr>
          <w:ilvl w:val="0"/>
          <w:numId w:val="3"/>
        </w:numPr>
        <w:spacing w:before="120" w:after="120"/>
        <w:contextualSpacing w:val="0"/>
        <w:jc w:val="both"/>
        <w:rPr>
          <w:rFonts w:ascii="Poppins" w:hAnsi="Poppins" w:cs="Poppins"/>
          <w:sz w:val="18"/>
          <w:szCs w:val="18"/>
        </w:rPr>
      </w:pPr>
      <w:r w:rsidRPr="00ED28A1">
        <w:rPr>
          <w:rFonts w:ascii="Poppins" w:hAnsi="Poppins" w:cs="Poppins"/>
          <w:sz w:val="18"/>
          <w:szCs w:val="18"/>
          <w:u w:val="single"/>
        </w:rPr>
        <w:t>Reparto de esfuerzo</w:t>
      </w:r>
      <w:r w:rsidRPr="00E74DB0">
        <w:rPr>
          <w:rFonts w:ascii="Poppins" w:hAnsi="Poppins" w:cs="Poppins"/>
          <w:sz w:val="18"/>
          <w:szCs w:val="18"/>
        </w:rPr>
        <w:t>:</w:t>
      </w:r>
      <w:r w:rsidRPr="00101F73">
        <w:rPr>
          <w:rFonts w:ascii="Poppins" w:hAnsi="Poppins" w:cs="Poppins"/>
          <w:sz w:val="18"/>
          <w:szCs w:val="18"/>
        </w:rPr>
        <w:t xml:space="preserve"> </w:t>
      </w:r>
      <w:r w:rsidR="00986028">
        <w:rPr>
          <w:rFonts w:ascii="Poppins" w:hAnsi="Poppins" w:cs="Poppins"/>
          <w:sz w:val="18"/>
          <w:szCs w:val="18"/>
        </w:rPr>
        <w:t>s</w:t>
      </w:r>
      <w:r w:rsidR="00B51568" w:rsidRPr="00101F73">
        <w:rPr>
          <w:rFonts w:ascii="Poppins" w:hAnsi="Poppins" w:cs="Poppins"/>
          <w:sz w:val="18"/>
          <w:szCs w:val="18"/>
        </w:rPr>
        <w:t xml:space="preserve">e necesita mayor ambición para cerrar una brecha de 6,2 puntos porcentuales en los sectores </w:t>
      </w:r>
      <w:r w:rsidR="002E0EC3">
        <w:rPr>
          <w:rFonts w:ascii="Poppins" w:hAnsi="Poppins" w:cs="Poppins"/>
          <w:sz w:val="18"/>
          <w:szCs w:val="18"/>
        </w:rPr>
        <w:t>difusos</w:t>
      </w:r>
      <w:r w:rsidR="00B51568" w:rsidRPr="00101F73">
        <w:rPr>
          <w:rFonts w:ascii="Poppins" w:hAnsi="Poppins" w:cs="Poppins"/>
          <w:sz w:val="18"/>
          <w:szCs w:val="18"/>
        </w:rPr>
        <w:t xml:space="preserve"> en comparación con el objetivo del 40%</w:t>
      </w:r>
      <w:r w:rsidR="009C03DD" w:rsidRPr="00101F73">
        <w:rPr>
          <w:rFonts w:ascii="Poppins" w:hAnsi="Poppins" w:cs="Poppins"/>
          <w:sz w:val="18"/>
          <w:szCs w:val="18"/>
        </w:rPr>
        <w:t>.</w:t>
      </w:r>
    </w:p>
    <w:p w14:paraId="3EBE2870" w14:textId="2968C0E8" w:rsidR="00B51568" w:rsidRPr="00ED28A1" w:rsidRDefault="00B57637" w:rsidP="00ED28A1">
      <w:pPr>
        <w:pStyle w:val="Prrafodelista"/>
        <w:numPr>
          <w:ilvl w:val="0"/>
          <w:numId w:val="3"/>
        </w:numPr>
        <w:spacing w:before="120" w:after="120"/>
        <w:contextualSpacing w:val="0"/>
        <w:jc w:val="both"/>
        <w:rPr>
          <w:rFonts w:ascii="Poppins" w:hAnsi="Poppins" w:cs="Poppins"/>
          <w:sz w:val="18"/>
          <w:szCs w:val="18"/>
        </w:rPr>
      </w:pPr>
      <w:r w:rsidRPr="00ED28A1">
        <w:rPr>
          <w:rFonts w:ascii="Poppins" w:hAnsi="Poppins" w:cs="Poppins"/>
          <w:b/>
          <w:bCs/>
          <w:sz w:val="18"/>
          <w:szCs w:val="18"/>
          <w:u w:val="single"/>
        </w:rPr>
        <w:lastRenderedPageBreak/>
        <w:t>Sumideros</w:t>
      </w:r>
      <w:r w:rsidRPr="00ED28A1">
        <w:rPr>
          <w:rFonts w:cs="Poppins"/>
          <w:b/>
          <w:bCs/>
          <w:sz w:val="18"/>
          <w:szCs w:val="18"/>
        </w:rPr>
        <w:t>:</w:t>
      </w:r>
      <w:r w:rsidRPr="00101F73">
        <w:rPr>
          <w:rFonts w:ascii="Poppins" w:hAnsi="Poppins" w:cs="Poppins"/>
          <w:sz w:val="18"/>
          <w:szCs w:val="18"/>
        </w:rPr>
        <w:t xml:space="preserve"> </w:t>
      </w:r>
      <w:r w:rsidR="00986028">
        <w:rPr>
          <w:rFonts w:ascii="Poppins" w:hAnsi="Poppins" w:cs="Poppins"/>
          <w:sz w:val="18"/>
          <w:szCs w:val="18"/>
        </w:rPr>
        <w:t>e</w:t>
      </w:r>
      <w:r w:rsidR="00B51568" w:rsidRPr="00101F73">
        <w:rPr>
          <w:rFonts w:ascii="Poppins" w:hAnsi="Poppins" w:cs="Poppins"/>
          <w:sz w:val="18"/>
          <w:szCs w:val="18"/>
        </w:rPr>
        <w:t xml:space="preserve">xiste una brecha de alrededor de -40 a -50 MtCO2eq en comparación con el objetivo de </w:t>
      </w:r>
      <w:r w:rsidR="00B51568" w:rsidRPr="00ED28A1">
        <w:rPr>
          <w:rFonts w:ascii="Poppins" w:hAnsi="Poppins" w:cs="Poppins"/>
          <w:sz w:val="18"/>
          <w:szCs w:val="18"/>
        </w:rPr>
        <w:t>-</w:t>
      </w:r>
      <w:r w:rsidR="009C03DD" w:rsidRPr="00ED28A1">
        <w:rPr>
          <w:rFonts w:ascii="Poppins" w:hAnsi="Poppins" w:cs="Poppins"/>
          <w:sz w:val="18"/>
          <w:szCs w:val="18"/>
        </w:rPr>
        <w:t>3</w:t>
      </w:r>
      <w:r w:rsidR="00B51568" w:rsidRPr="00ED28A1">
        <w:rPr>
          <w:rFonts w:ascii="Poppins" w:hAnsi="Poppins" w:cs="Poppins"/>
          <w:sz w:val="18"/>
          <w:szCs w:val="18"/>
        </w:rPr>
        <w:t>10 MtCO2</w:t>
      </w:r>
      <w:r w:rsidR="009C03DD" w:rsidRPr="00ED28A1">
        <w:rPr>
          <w:rFonts w:ascii="Poppins" w:hAnsi="Poppins" w:cs="Poppins"/>
          <w:sz w:val="18"/>
          <w:szCs w:val="18"/>
        </w:rPr>
        <w:t xml:space="preserve"> </w:t>
      </w:r>
      <w:proofErr w:type="spellStart"/>
      <w:r w:rsidR="00B51568" w:rsidRPr="00ED28A1">
        <w:rPr>
          <w:rFonts w:ascii="Poppins" w:hAnsi="Poppins" w:cs="Poppins"/>
          <w:sz w:val="18"/>
          <w:szCs w:val="18"/>
        </w:rPr>
        <w:t>eq</w:t>
      </w:r>
      <w:proofErr w:type="spellEnd"/>
      <w:r w:rsidR="00B51568" w:rsidRPr="00ED28A1">
        <w:rPr>
          <w:rFonts w:ascii="Poppins" w:hAnsi="Poppins" w:cs="Poppins"/>
          <w:sz w:val="18"/>
          <w:szCs w:val="18"/>
        </w:rPr>
        <w:t xml:space="preserve"> según el Reglamento </w:t>
      </w:r>
      <w:r w:rsidR="009C03DD" w:rsidRPr="00ED28A1">
        <w:rPr>
          <w:rFonts w:ascii="Poppins" w:hAnsi="Poppins" w:cs="Poppins"/>
          <w:sz w:val="18"/>
          <w:szCs w:val="18"/>
        </w:rPr>
        <w:t>LULUCF.</w:t>
      </w:r>
    </w:p>
    <w:p w14:paraId="20223458" w14:textId="46450354" w:rsidR="00B51568" w:rsidRPr="00101F73" w:rsidRDefault="00B57637" w:rsidP="00BF676F">
      <w:pPr>
        <w:pStyle w:val="Prrafodelista"/>
        <w:numPr>
          <w:ilvl w:val="0"/>
          <w:numId w:val="3"/>
        </w:numPr>
        <w:spacing w:before="120" w:after="120"/>
        <w:contextualSpacing w:val="0"/>
        <w:jc w:val="both"/>
        <w:rPr>
          <w:rFonts w:ascii="Poppins" w:hAnsi="Poppins" w:cs="Poppins"/>
          <w:sz w:val="18"/>
          <w:szCs w:val="18"/>
        </w:rPr>
      </w:pPr>
      <w:r w:rsidRPr="00ED28A1">
        <w:rPr>
          <w:rFonts w:ascii="Poppins" w:hAnsi="Poppins" w:cs="Poppins"/>
          <w:b/>
          <w:bCs/>
          <w:sz w:val="18"/>
          <w:szCs w:val="18"/>
        </w:rPr>
        <w:t>Consumo de renovables en usos finales:</w:t>
      </w:r>
      <w:r w:rsidRPr="00101F73">
        <w:rPr>
          <w:rFonts w:ascii="Poppins" w:hAnsi="Poppins" w:cs="Poppins"/>
          <w:sz w:val="18"/>
          <w:szCs w:val="18"/>
        </w:rPr>
        <w:t xml:space="preserve"> </w:t>
      </w:r>
      <w:r w:rsidR="00E74DB0">
        <w:rPr>
          <w:rFonts w:ascii="Poppins" w:hAnsi="Poppins" w:cs="Poppins"/>
          <w:sz w:val="18"/>
          <w:szCs w:val="18"/>
        </w:rPr>
        <w:t>e</w:t>
      </w:r>
      <w:r w:rsidR="00B51568" w:rsidRPr="00101F73">
        <w:rPr>
          <w:rFonts w:ascii="Poppins" w:hAnsi="Poppins" w:cs="Poppins"/>
          <w:sz w:val="18"/>
          <w:szCs w:val="18"/>
        </w:rPr>
        <w:t xml:space="preserve">n el caso de las energías </w:t>
      </w:r>
      <w:r w:rsidR="009C03DD" w:rsidRPr="00101F73">
        <w:rPr>
          <w:rFonts w:ascii="Poppins" w:hAnsi="Poppins" w:cs="Poppins"/>
          <w:sz w:val="18"/>
          <w:szCs w:val="18"/>
        </w:rPr>
        <w:t>renovables,</w:t>
      </w:r>
      <w:r w:rsidR="00B51568" w:rsidRPr="00101F73">
        <w:rPr>
          <w:rFonts w:ascii="Poppins" w:hAnsi="Poppins" w:cs="Poppins"/>
          <w:sz w:val="18"/>
          <w:szCs w:val="18"/>
        </w:rPr>
        <w:t xml:space="preserve"> los proyectos actuales llevarían a </w:t>
      </w:r>
      <w:r w:rsidR="009C03DD" w:rsidRPr="00101F73">
        <w:rPr>
          <w:rFonts w:ascii="Poppins" w:hAnsi="Poppins" w:cs="Poppins"/>
          <w:sz w:val="18"/>
          <w:szCs w:val="18"/>
        </w:rPr>
        <w:t xml:space="preserve">un </w:t>
      </w:r>
      <w:r w:rsidRPr="00101F73">
        <w:rPr>
          <w:rFonts w:ascii="Poppins" w:hAnsi="Poppins" w:cs="Poppins"/>
          <w:sz w:val="18"/>
          <w:szCs w:val="18"/>
        </w:rPr>
        <w:t>consumo de energías renovables en los usos finales de entre un</w:t>
      </w:r>
      <w:r w:rsidR="00B51568" w:rsidRPr="00101F73">
        <w:rPr>
          <w:rFonts w:ascii="Poppins" w:hAnsi="Poppins" w:cs="Poppins"/>
          <w:sz w:val="18"/>
          <w:szCs w:val="18"/>
        </w:rPr>
        <w:t xml:space="preserve"> 38,6%</w:t>
      </w:r>
      <w:r w:rsidRPr="00101F73">
        <w:rPr>
          <w:rFonts w:ascii="Poppins" w:hAnsi="Poppins" w:cs="Poppins"/>
          <w:sz w:val="18"/>
          <w:szCs w:val="18"/>
        </w:rPr>
        <w:t xml:space="preserve"> y un</w:t>
      </w:r>
      <w:r w:rsidR="00B51568" w:rsidRPr="00101F73">
        <w:rPr>
          <w:rFonts w:ascii="Poppins" w:hAnsi="Poppins" w:cs="Poppins"/>
          <w:sz w:val="18"/>
          <w:szCs w:val="18"/>
        </w:rPr>
        <w:t xml:space="preserve"> 39,3</w:t>
      </w:r>
      <w:proofErr w:type="gramStart"/>
      <w:r w:rsidR="00B51568" w:rsidRPr="00101F73">
        <w:rPr>
          <w:rFonts w:ascii="Poppins" w:hAnsi="Poppins" w:cs="Poppins"/>
          <w:sz w:val="18"/>
          <w:szCs w:val="18"/>
        </w:rPr>
        <w:t xml:space="preserve">% </w:t>
      </w:r>
      <w:r w:rsidR="002E0EC3">
        <w:rPr>
          <w:rFonts w:ascii="Poppins" w:hAnsi="Poppins" w:cs="Poppins"/>
          <w:sz w:val="18"/>
          <w:szCs w:val="18"/>
        </w:rPr>
        <w:t>.</w:t>
      </w:r>
      <w:proofErr w:type="gramEnd"/>
      <w:r w:rsidR="002E0EC3">
        <w:rPr>
          <w:rFonts w:ascii="Poppins" w:hAnsi="Poppins" w:cs="Poppins"/>
          <w:sz w:val="18"/>
          <w:szCs w:val="18"/>
        </w:rPr>
        <w:t xml:space="preserve"> P</w:t>
      </w:r>
      <w:r w:rsidRPr="00101F73">
        <w:rPr>
          <w:rFonts w:ascii="Poppins" w:hAnsi="Poppins" w:cs="Poppins"/>
          <w:sz w:val="18"/>
          <w:szCs w:val="18"/>
        </w:rPr>
        <w:t>or tanto, no se alcanzaría</w:t>
      </w:r>
      <w:r w:rsidR="00B51568" w:rsidRPr="00101F73">
        <w:rPr>
          <w:rFonts w:ascii="Poppins" w:hAnsi="Poppins" w:cs="Poppins"/>
          <w:sz w:val="18"/>
          <w:szCs w:val="18"/>
        </w:rPr>
        <w:t xml:space="preserve"> el objetivo </w:t>
      </w:r>
      <w:r w:rsidRPr="00101F73">
        <w:rPr>
          <w:rFonts w:ascii="Poppins" w:hAnsi="Poppins" w:cs="Poppins"/>
          <w:sz w:val="18"/>
          <w:szCs w:val="18"/>
        </w:rPr>
        <w:t xml:space="preserve">vinculante </w:t>
      </w:r>
      <w:r w:rsidR="00B51568" w:rsidRPr="00101F73">
        <w:rPr>
          <w:rFonts w:ascii="Poppins" w:hAnsi="Poppins" w:cs="Poppins"/>
          <w:sz w:val="18"/>
          <w:szCs w:val="18"/>
        </w:rPr>
        <w:t>del 42,5%</w:t>
      </w:r>
      <w:r w:rsidRPr="00101F73">
        <w:rPr>
          <w:rFonts w:ascii="Poppins" w:hAnsi="Poppins" w:cs="Poppins"/>
          <w:sz w:val="18"/>
          <w:szCs w:val="18"/>
        </w:rPr>
        <w:t>, y quedaría lejos del objetivo orientativo del 45%</w:t>
      </w:r>
    </w:p>
    <w:p w14:paraId="69012FFF" w14:textId="01255615" w:rsidR="0064106D" w:rsidRPr="00101F73" w:rsidRDefault="00B57637" w:rsidP="00BF676F">
      <w:pPr>
        <w:pStyle w:val="Prrafodelista"/>
        <w:numPr>
          <w:ilvl w:val="0"/>
          <w:numId w:val="3"/>
        </w:numPr>
        <w:spacing w:before="120" w:after="120"/>
        <w:contextualSpacing w:val="0"/>
        <w:jc w:val="both"/>
        <w:rPr>
          <w:rFonts w:ascii="Poppins" w:hAnsi="Poppins" w:cs="Poppins"/>
          <w:sz w:val="18"/>
          <w:szCs w:val="18"/>
        </w:rPr>
      </w:pPr>
      <w:r w:rsidRPr="00ED28A1">
        <w:rPr>
          <w:rFonts w:ascii="Poppins" w:hAnsi="Poppins" w:cs="Poppins"/>
          <w:b/>
          <w:bCs/>
          <w:sz w:val="18"/>
          <w:szCs w:val="18"/>
        </w:rPr>
        <w:t>E</w:t>
      </w:r>
      <w:r w:rsidR="00B51568" w:rsidRPr="00ED28A1">
        <w:rPr>
          <w:rFonts w:ascii="Poppins" w:hAnsi="Poppins" w:cs="Poppins"/>
          <w:b/>
          <w:bCs/>
          <w:sz w:val="18"/>
          <w:szCs w:val="18"/>
        </w:rPr>
        <w:t xml:space="preserve">ficiencia </w:t>
      </w:r>
      <w:r w:rsidR="009C03DD" w:rsidRPr="00ED28A1">
        <w:rPr>
          <w:rFonts w:ascii="Poppins" w:hAnsi="Poppins" w:cs="Poppins"/>
          <w:b/>
          <w:bCs/>
          <w:sz w:val="18"/>
          <w:szCs w:val="18"/>
        </w:rPr>
        <w:t>energética</w:t>
      </w:r>
      <w:r w:rsidRPr="00ED28A1">
        <w:rPr>
          <w:rFonts w:ascii="Poppins" w:hAnsi="Poppins" w:cs="Poppins"/>
          <w:b/>
          <w:bCs/>
          <w:sz w:val="18"/>
          <w:szCs w:val="18"/>
        </w:rPr>
        <w:t>:</w:t>
      </w:r>
      <w:r w:rsidR="00B51568" w:rsidRPr="00101F73">
        <w:rPr>
          <w:rFonts w:ascii="Poppins" w:hAnsi="Poppins" w:cs="Poppins"/>
          <w:sz w:val="18"/>
          <w:szCs w:val="18"/>
        </w:rPr>
        <w:t xml:space="preserve"> los proyectos actuales conducirían a mejoras de eficiencia energética del 5,8%, en comparación con el objetivo del 11,7%</w:t>
      </w:r>
      <w:r w:rsidR="009C03DD" w:rsidRPr="00101F73">
        <w:rPr>
          <w:rFonts w:ascii="Poppins" w:hAnsi="Poppins" w:cs="Poppins"/>
          <w:sz w:val="18"/>
          <w:szCs w:val="18"/>
        </w:rPr>
        <w:t>.</w:t>
      </w:r>
    </w:p>
    <w:p w14:paraId="1A50D5E5" w14:textId="69A3A651" w:rsidR="0064106D" w:rsidRPr="00101F73" w:rsidRDefault="009642A2" w:rsidP="00BF676F">
      <w:pPr>
        <w:pStyle w:val="Prrafodelista"/>
        <w:numPr>
          <w:ilvl w:val="0"/>
          <w:numId w:val="3"/>
        </w:numPr>
        <w:spacing w:before="120" w:after="120"/>
        <w:contextualSpacing w:val="0"/>
        <w:jc w:val="both"/>
        <w:rPr>
          <w:rFonts w:ascii="Poppins" w:hAnsi="Poppins" w:cs="Poppins"/>
          <w:sz w:val="18"/>
          <w:szCs w:val="18"/>
        </w:rPr>
      </w:pPr>
      <w:r w:rsidRPr="00ED28A1">
        <w:rPr>
          <w:rFonts w:ascii="Poppins" w:hAnsi="Poppins" w:cs="Poppins"/>
          <w:b/>
          <w:bCs/>
          <w:sz w:val="18"/>
          <w:szCs w:val="18"/>
        </w:rPr>
        <w:t>Combustibles fósiles:</w:t>
      </w:r>
      <w:r w:rsidRPr="00101F73">
        <w:rPr>
          <w:rFonts w:ascii="Poppins" w:hAnsi="Poppins" w:cs="Poppins"/>
          <w:sz w:val="18"/>
          <w:szCs w:val="18"/>
        </w:rPr>
        <w:t xml:space="preserve"> </w:t>
      </w:r>
      <w:r w:rsidR="00B51568" w:rsidRPr="00101F73">
        <w:rPr>
          <w:rFonts w:ascii="Poppins" w:hAnsi="Poppins" w:cs="Poppins"/>
          <w:sz w:val="18"/>
          <w:szCs w:val="18"/>
        </w:rPr>
        <w:t xml:space="preserve">destaca la importancia y urgencia de eliminar progresivamente </w:t>
      </w:r>
      <w:r w:rsidRPr="00101F73">
        <w:rPr>
          <w:rFonts w:ascii="Poppins" w:hAnsi="Poppins" w:cs="Poppins"/>
          <w:sz w:val="18"/>
          <w:szCs w:val="18"/>
        </w:rPr>
        <w:t>su</w:t>
      </w:r>
      <w:r w:rsidR="00B51568" w:rsidRPr="00101F73">
        <w:rPr>
          <w:rFonts w:ascii="Poppins" w:hAnsi="Poppins" w:cs="Poppins"/>
          <w:sz w:val="18"/>
          <w:szCs w:val="18"/>
        </w:rPr>
        <w:t xml:space="preserve"> uso </w:t>
      </w:r>
      <w:r w:rsidRPr="00101F73">
        <w:rPr>
          <w:rFonts w:ascii="Poppins" w:hAnsi="Poppins" w:cs="Poppins"/>
          <w:sz w:val="18"/>
          <w:szCs w:val="18"/>
        </w:rPr>
        <w:t>en la generación eléctrica</w:t>
      </w:r>
      <w:r w:rsidR="00B51568" w:rsidRPr="00101F73">
        <w:rPr>
          <w:rFonts w:ascii="Poppins" w:hAnsi="Poppins" w:cs="Poppins"/>
          <w:sz w:val="18"/>
          <w:szCs w:val="18"/>
        </w:rPr>
        <w:t xml:space="preserve">, en particular los combustibles fósiles sólidos. </w:t>
      </w:r>
    </w:p>
    <w:p w14:paraId="6F4EB4BA" w14:textId="33608356" w:rsidR="00B51568" w:rsidRPr="00101F73" w:rsidRDefault="009642A2" w:rsidP="00BF676F">
      <w:pPr>
        <w:pStyle w:val="Prrafodelista"/>
        <w:numPr>
          <w:ilvl w:val="0"/>
          <w:numId w:val="3"/>
        </w:numPr>
        <w:spacing w:before="120" w:after="120"/>
        <w:contextualSpacing w:val="0"/>
        <w:jc w:val="both"/>
        <w:rPr>
          <w:rFonts w:ascii="Poppins" w:hAnsi="Poppins" w:cs="Poppins"/>
          <w:sz w:val="18"/>
          <w:szCs w:val="18"/>
        </w:rPr>
      </w:pPr>
      <w:r w:rsidRPr="00ED28A1">
        <w:rPr>
          <w:rFonts w:ascii="Poppins" w:hAnsi="Poppins" w:cs="Poppins"/>
          <w:b/>
          <w:bCs/>
          <w:sz w:val="18"/>
          <w:szCs w:val="18"/>
        </w:rPr>
        <w:t>Seguridad energética</w:t>
      </w:r>
      <w:r w:rsidRPr="00101F73">
        <w:rPr>
          <w:rFonts w:ascii="Poppins" w:hAnsi="Poppins" w:cs="Poppins"/>
          <w:sz w:val="18"/>
          <w:szCs w:val="18"/>
        </w:rPr>
        <w:t xml:space="preserve">: se </w:t>
      </w:r>
      <w:r w:rsidR="00B51568" w:rsidRPr="00101F73">
        <w:rPr>
          <w:rFonts w:ascii="Poppins" w:hAnsi="Poppins" w:cs="Poppins"/>
          <w:sz w:val="18"/>
          <w:szCs w:val="18"/>
        </w:rPr>
        <w:t xml:space="preserve">anima a los Estados miembros a prestar más atención a la seguridad energética en sus </w:t>
      </w:r>
      <w:proofErr w:type="spellStart"/>
      <w:r w:rsidR="0064106D" w:rsidRPr="00101F73">
        <w:rPr>
          <w:rFonts w:ascii="Poppins" w:hAnsi="Poppins" w:cs="Poppins"/>
          <w:sz w:val="18"/>
          <w:szCs w:val="18"/>
        </w:rPr>
        <w:t>PNIECs</w:t>
      </w:r>
      <w:proofErr w:type="spellEnd"/>
      <w:r w:rsidR="00B51568" w:rsidRPr="00101F73">
        <w:rPr>
          <w:rFonts w:ascii="Poppins" w:hAnsi="Poppins" w:cs="Poppins"/>
          <w:sz w:val="18"/>
          <w:szCs w:val="18"/>
        </w:rPr>
        <w:t xml:space="preserve"> finales y destaca la necesidad de impulsar urgentemente la competitividad de las cadenas de valor europeas de energía limpia</w:t>
      </w:r>
    </w:p>
    <w:p w14:paraId="60BBC2BF" w14:textId="77777777" w:rsidR="00B51568" w:rsidRDefault="00B51568" w:rsidP="00BF676F">
      <w:pPr>
        <w:spacing w:before="120" w:after="120"/>
        <w:rPr>
          <w:rFonts w:cs="Poppins"/>
          <w:sz w:val="18"/>
          <w:szCs w:val="18"/>
        </w:rPr>
      </w:pPr>
      <w:r w:rsidRPr="00172698">
        <w:rPr>
          <w:rFonts w:cs="Poppins"/>
          <w:sz w:val="18"/>
          <w:szCs w:val="18"/>
        </w:rPr>
        <w:t xml:space="preserve">Diecinueve Estados miembros (Bélgica, Chipre, Chequia, Alemania, Dinamarca, Estonia, Grecia, </w:t>
      </w:r>
      <w:r w:rsidRPr="00172698">
        <w:rPr>
          <w:rFonts w:cs="Poppins"/>
          <w:b/>
          <w:bCs/>
          <w:sz w:val="18"/>
          <w:szCs w:val="18"/>
        </w:rPr>
        <w:t>España</w:t>
      </w:r>
      <w:r w:rsidRPr="00172698">
        <w:rPr>
          <w:rFonts w:cs="Poppins"/>
          <w:sz w:val="18"/>
          <w:szCs w:val="18"/>
        </w:rPr>
        <w:t>, Croacia, Hungría, Italia, Irlanda, Letonia, Lituania, Luxemburgo, Rumanía, Portugal, Eslovenia, Eslovaquia) presentaron un PNIEC actualizado preliminar que incluye una contribución explícita o implícita al objetivo vinculante de energías renovables del 42.5% de la UE para 2030.</w:t>
      </w:r>
      <w:r>
        <w:rPr>
          <w:rFonts w:cs="Poppins"/>
          <w:sz w:val="18"/>
          <w:szCs w:val="18"/>
        </w:rPr>
        <w:t xml:space="preserve"> </w:t>
      </w:r>
      <w:r w:rsidRPr="00172698">
        <w:rPr>
          <w:rFonts w:cs="Poppins"/>
          <w:sz w:val="18"/>
          <w:szCs w:val="18"/>
        </w:rPr>
        <w:t>Cinco Estados miembros (Finlandia, Francia, Malta, Países Bajos, Suecia) presentaron un PNIEC actualizado preliminar pero no actualizaron su contribución al objetivo vinculante de energías renovables del 42.5% de la UE para 2030. Cuatro de estos cinco Estados miembros (Finlandia, Malta, Países Bajos, Suecia) indicaron que actualizarán su contribución en su PNIEC final.</w:t>
      </w:r>
      <w:r>
        <w:rPr>
          <w:rFonts w:cs="Poppins"/>
          <w:sz w:val="18"/>
          <w:szCs w:val="18"/>
        </w:rPr>
        <w:t xml:space="preserve"> </w:t>
      </w:r>
    </w:p>
    <w:p w14:paraId="1E2B0CEE" w14:textId="77777777" w:rsidR="00B51568" w:rsidRPr="00172698" w:rsidRDefault="00B51568" w:rsidP="00BF676F">
      <w:pPr>
        <w:spacing w:before="120" w:after="120"/>
        <w:rPr>
          <w:rFonts w:cs="Poppins"/>
          <w:sz w:val="18"/>
          <w:szCs w:val="18"/>
        </w:rPr>
      </w:pPr>
      <w:r w:rsidRPr="00172698">
        <w:rPr>
          <w:rFonts w:cs="Poppins"/>
          <w:sz w:val="18"/>
          <w:szCs w:val="18"/>
        </w:rPr>
        <w:t>En la siguiente tabla se puede ver el resumen de las contribuciones nacionales y las brechas de ambición hacia el objetivo de la Unión de al menos un 42.5% de consumo de energía renovable, en la que se sigua a España, junto con otros 6 EEMM en línea o por encima de la contribución esperada, quedando el resto de 20 países por debajo.</w:t>
      </w:r>
    </w:p>
    <w:tbl>
      <w:tblPr>
        <w:tblW w:w="9349" w:type="dxa"/>
        <w:tblInd w:w="-3" w:type="dxa"/>
        <w:tblLayout w:type="fixed"/>
        <w:tblCellMar>
          <w:left w:w="0" w:type="dxa"/>
          <w:right w:w="0" w:type="dxa"/>
        </w:tblCellMar>
        <w:tblLook w:val="04A0" w:firstRow="1" w:lastRow="0" w:firstColumn="1" w:lastColumn="0" w:noHBand="0" w:noVBand="1"/>
      </w:tblPr>
      <w:tblGrid>
        <w:gridCol w:w="560"/>
        <w:gridCol w:w="1560"/>
        <w:gridCol w:w="1417"/>
        <w:gridCol w:w="1701"/>
        <w:gridCol w:w="1276"/>
        <w:gridCol w:w="2835"/>
      </w:tblGrid>
      <w:tr w:rsidR="00CC1673" w:rsidRPr="0064106D" w14:paraId="22F54AB6" w14:textId="77777777" w:rsidTr="00ED28A1">
        <w:trPr>
          <w:trHeight w:val="113"/>
          <w:tblHeader/>
        </w:trPr>
        <w:tc>
          <w:tcPr>
            <w:tcW w:w="560" w:type="dxa"/>
            <w:tcBorders>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hideMark/>
          </w:tcPr>
          <w:p w14:paraId="749BBD61" w14:textId="77777777" w:rsidR="00B51568" w:rsidRPr="00ED28A1" w:rsidRDefault="00B51568" w:rsidP="00ED28A1">
            <w:pPr>
              <w:spacing w:before="120" w:after="120"/>
              <w:jc w:val="center"/>
              <w:rPr>
                <w:rFonts w:cs="Poppins"/>
                <w:b/>
                <w:bCs/>
                <w:noProof/>
                <w:sz w:val="12"/>
                <w:szCs w:val="12"/>
              </w:rPr>
            </w:pPr>
          </w:p>
          <w:p w14:paraId="15BD37EA" w14:textId="77777777" w:rsidR="00B51568" w:rsidRPr="00ED28A1" w:rsidRDefault="00B51568" w:rsidP="00ED28A1">
            <w:pPr>
              <w:spacing w:before="120" w:after="120"/>
              <w:jc w:val="center"/>
              <w:rPr>
                <w:rFonts w:cs="Poppins"/>
                <w:b/>
                <w:bCs/>
                <w:noProof/>
                <w:sz w:val="12"/>
                <w:szCs w:val="12"/>
              </w:rPr>
            </w:pPr>
          </w:p>
          <w:p w14:paraId="1716C149" w14:textId="6384E465"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PA</w:t>
            </w:r>
            <w:r>
              <w:rPr>
                <w:rFonts w:cs="Poppins"/>
                <w:b/>
                <w:bCs/>
                <w:noProof/>
                <w:sz w:val="12"/>
                <w:szCs w:val="12"/>
              </w:rPr>
              <w:t>Í</w:t>
            </w:r>
            <w:r w:rsidRPr="00E74DB0">
              <w:rPr>
                <w:rFonts w:cs="Poppins"/>
                <w:b/>
                <w:bCs/>
                <w:noProof/>
                <w:sz w:val="12"/>
                <w:szCs w:val="12"/>
              </w:rPr>
              <w:t>S</w:t>
            </w:r>
          </w:p>
        </w:tc>
        <w:tc>
          <w:tcPr>
            <w:tcW w:w="1560" w:type="dxa"/>
            <w:tcBorders>
              <w:top w:val="single" w:sz="8" w:space="0" w:color="auto"/>
              <w:left w:val="nil"/>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center"/>
            <w:hideMark/>
          </w:tcPr>
          <w:p w14:paraId="5F01C69D" w14:textId="77777777" w:rsidR="00B51568" w:rsidRPr="00ED28A1" w:rsidRDefault="00B51568" w:rsidP="00ED28A1">
            <w:pPr>
              <w:spacing w:before="120" w:after="120"/>
              <w:jc w:val="center"/>
              <w:rPr>
                <w:rFonts w:cs="Poppins"/>
                <w:b/>
                <w:bCs/>
                <w:noProof/>
                <w:sz w:val="12"/>
                <w:szCs w:val="12"/>
              </w:rPr>
            </w:pPr>
          </w:p>
          <w:p w14:paraId="622D5E9B" w14:textId="7CF387CC"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OBJETIVO NACIONAL VINCULANTE PARA 2020</w:t>
            </w:r>
          </w:p>
        </w:tc>
        <w:tc>
          <w:tcPr>
            <w:tcW w:w="1417" w:type="dxa"/>
            <w:tcBorders>
              <w:top w:val="single" w:sz="8" w:space="0" w:color="auto"/>
              <w:left w:val="nil"/>
              <w:bottom w:val="single" w:sz="8" w:space="0" w:color="auto"/>
              <w:right w:val="double" w:sz="4" w:space="0" w:color="auto"/>
            </w:tcBorders>
            <w:shd w:val="clear" w:color="auto" w:fill="DEEAF6" w:themeFill="accent5" w:themeFillTint="33"/>
            <w:noWrap/>
            <w:tcMar>
              <w:top w:w="0" w:type="dxa"/>
              <w:left w:w="108" w:type="dxa"/>
              <w:bottom w:w="0" w:type="dxa"/>
              <w:right w:w="108" w:type="dxa"/>
            </w:tcMar>
            <w:vAlign w:val="center"/>
            <w:hideMark/>
          </w:tcPr>
          <w:p w14:paraId="01935DE4" w14:textId="0FC3BFE3"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VALOR NACIONAL DE CONTRIBUCIÓN 2021</w:t>
            </w:r>
          </w:p>
        </w:tc>
        <w:tc>
          <w:tcPr>
            <w:tcW w:w="1701" w:type="dxa"/>
            <w:tcBorders>
              <w:top w:val="single" w:sz="8" w:space="0" w:color="auto"/>
              <w:left w:val="double" w:sz="4" w:space="0" w:color="auto"/>
              <w:bottom w:val="single" w:sz="4" w:space="0" w:color="auto"/>
              <w:right w:val="single" w:sz="8" w:space="0" w:color="auto"/>
            </w:tcBorders>
            <w:shd w:val="clear" w:color="auto" w:fill="DEEAF6" w:themeFill="accent5" w:themeFillTint="33"/>
            <w:noWrap/>
            <w:tcMar>
              <w:top w:w="0" w:type="dxa"/>
              <w:left w:w="108" w:type="dxa"/>
              <w:bottom w:w="0" w:type="dxa"/>
              <w:right w:w="108" w:type="dxa"/>
            </w:tcMar>
            <w:vAlign w:val="center"/>
            <w:hideMark/>
          </w:tcPr>
          <w:p w14:paraId="0D85B7CB" w14:textId="4EA01163"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 xml:space="preserve">CONTRIBUCIÓN NACIONAL PARA 2030 </w:t>
            </w:r>
            <w:r w:rsidRPr="00ED28A1">
              <w:rPr>
                <w:rFonts w:cs="Poppins"/>
                <w:noProof/>
                <w:sz w:val="12"/>
                <w:szCs w:val="12"/>
              </w:rPr>
              <w:t>(SEGÚN EL PNIEC ACTUALIZADO PRELIMINAR)</w:t>
            </w:r>
          </w:p>
        </w:tc>
        <w:tc>
          <w:tcPr>
            <w:tcW w:w="1276" w:type="dxa"/>
            <w:tcBorders>
              <w:top w:val="single" w:sz="8" w:space="0" w:color="auto"/>
              <w:left w:val="nil"/>
              <w:bottom w:val="single" w:sz="4" w:space="0" w:color="auto"/>
              <w:right w:val="single" w:sz="8" w:space="0" w:color="auto"/>
            </w:tcBorders>
            <w:shd w:val="clear" w:color="auto" w:fill="DEEAF6" w:themeFill="accent5" w:themeFillTint="33"/>
            <w:noWrap/>
            <w:tcMar>
              <w:top w:w="0" w:type="dxa"/>
              <w:left w:w="108" w:type="dxa"/>
              <w:bottom w:w="0" w:type="dxa"/>
              <w:right w:w="108" w:type="dxa"/>
            </w:tcMar>
            <w:vAlign w:val="center"/>
            <w:hideMark/>
          </w:tcPr>
          <w:p w14:paraId="5DE8908E" w14:textId="29D2E0F7"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CONTRIBUCIÓN</w:t>
            </w:r>
          </w:p>
          <w:p w14:paraId="3DFE8A90" w14:textId="03E116B0"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2030 EN LINEA CON LA FORMULA</w:t>
            </w:r>
          </w:p>
        </w:tc>
        <w:tc>
          <w:tcPr>
            <w:tcW w:w="2835" w:type="dxa"/>
            <w:tcBorders>
              <w:top w:val="single" w:sz="8" w:space="0" w:color="auto"/>
              <w:left w:val="nil"/>
              <w:bottom w:val="single" w:sz="8" w:space="0" w:color="auto"/>
              <w:right w:val="single" w:sz="8" w:space="0" w:color="auto"/>
            </w:tcBorders>
            <w:shd w:val="clear" w:color="auto" w:fill="DEEAF6" w:themeFill="accent5" w:themeFillTint="33"/>
            <w:vAlign w:val="center"/>
          </w:tcPr>
          <w:p w14:paraId="691698EA" w14:textId="67F0A2FD" w:rsidR="00B51568" w:rsidRPr="00ED28A1" w:rsidRDefault="00E74DB0" w:rsidP="00ED28A1">
            <w:pPr>
              <w:spacing w:before="120" w:after="120"/>
              <w:jc w:val="center"/>
              <w:rPr>
                <w:rFonts w:cs="Poppins"/>
                <w:b/>
                <w:bCs/>
                <w:noProof/>
                <w:sz w:val="12"/>
                <w:szCs w:val="12"/>
              </w:rPr>
            </w:pPr>
            <w:r w:rsidRPr="00E74DB0">
              <w:rPr>
                <w:rFonts w:cs="Poppins"/>
                <w:b/>
                <w:bCs/>
                <w:noProof/>
                <w:sz w:val="12"/>
                <w:szCs w:val="12"/>
              </w:rPr>
              <w:t>BRECHA DE AMBICIÓN</w:t>
            </w:r>
          </w:p>
        </w:tc>
      </w:tr>
      <w:tr w:rsidR="00B51568" w:rsidRPr="0064106D" w14:paraId="07E05B60"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3FEBB4" w14:textId="77777777" w:rsidR="00B51568" w:rsidRPr="0064106D" w:rsidRDefault="00B51568" w:rsidP="00BF676F">
            <w:pPr>
              <w:spacing w:before="120" w:after="120"/>
              <w:rPr>
                <w:rFonts w:cs="Poppins"/>
                <w:noProof/>
                <w:sz w:val="14"/>
                <w:szCs w:val="14"/>
              </w:rPr>
            </w:pPr>
            <w:r w:rsidRPr="0064106D">
              <w:rPr>
                <w:rFonts w:cs="Poppins"/>
                <w:noProof/>
                <w:sz w:val="14"/>
                <w:szCs w:val="14"/>
              </w:rPr>
              <w:t>AT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A422C16" w14:textId="77777777" w:rsidR="00B51568" w:rsidRPr="0064106D" w:rsidRDefault="00B51568" w:rsidP="00BF676F">
            <w:pPr>
              <w:spacing w:before="120" w:after="120"/>
              <w:rPr>
                <w:rFonts w:cs="Poppins"/>
                <w:noProof/>
                <w:sz w:val="14"/>
                <w:szCs w:val="14"/>
              </w:rPr>
            </w:pPr>
            <w:r w:rsidRPr="0064106D">
              <w:rPr>
                <w:rFonts w:cs="Poppins"/>
                <w:noProof/>
                <w:sz w:val="14"/>
                <w:szCs w:val="14"/>
              </w:rPr>
              <w:t>34%</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47A21DB6" w14:textId="77777777" w:rsidR="00B51568" w:rsidRPr="0064106D" w:rsidRDefault="00B51568" w:rsidP="00BF676F">
            <w:pPr>
              <w:spacing w:before="120" w:after="120"/>
              <w:rPr>
                <w:rFonts w:cs="Poppins"/>
                <w:noProof/>
                <w:sz w:val="14"/>
                <w:szCs w:val="14"/>
              </w:rPr>
            </w:pPr>
            <w:r w:rsidRPr="0064106D">
              <w:rPr>
                <w:rFonts w:cs="Poppins"/>
                <w:noProof/>
                <w:sz w:val="14"/>
                <w:szCs w:val="14"/>
              </w:rPr>
              <w:t>36.4%</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315AA12A" w14:textId="77777777" w:rsidR="00B51568" w:rsidRPr="0064106D" w:rsidRDefault="00B51568" w:rsidP="00BF676F">
            <w:pPr>
              <w:spacing w:before="120" w:after="120"/>
              <w:rPr>
                <w:rFonts w:cs="Poppins"/>
                <w:noProof/>
                <w:sz w:val="14"/>
                <w:szCs w:val="14"/>
              </w:rPr>
            </w:pPr>
            <w:r w:rsidRPr="0064106D">
              <w:rPr>
                <w:rFonts w:cs="Poppins"/>
                <w:noProof/>
                <w:sz w:val="14"/>
                <w:szCs w:val="14"/>
              </w:rPr>
              <w:t>46%-50%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CE59E1F" w14:textId="77777777" w:rsidR="00B51568" w:rsidRPr="0064106D" w:rsidRDefault="00B51568" w:rsidP="00BF676F">
            <w:pPr>
              <w:spacing w:before="120" w:after="120"/>
              <w:rPr>
                <w:rFonts w:cs="Poppins"/>
                <w:noProof/>
                <w:sz w:val="14"/>
                <w:szCs w:val="14"/>
              </w:rPr>
            </w:pPr>
            <w:r w:rsidRPr="0064106D">
              <w:rPr>
                <w:rFonts w:cs="Poppins"/>
                <w:noProof/>
                <w:sz w:val="14"/>
                <w:szCs w:val="14"/>
              </w:rPr>
              <w:t>57%</w:t>
            </w:r>
          </w:p>
        </w:tc>
        <w:tc>
          <w:tcPr>
            <w:tcW w:w="2835" w:type="dxa"/>
            <w:tcBorders>
              <w:top w:val="nil"/>
              <w:left w:val="single" w:sz="4" w:space="0" w:color="auto"/>
              <w:bottom w:val="single" w:sz="8" w:space="0" w:color="auto"/>
              <w:right w:val="single" w:sz="8" w:space="0" w:color="auto"/>
            </w:tcBorders>
            <w:shd w:val="clear" w:color="auto" w:fill="FF0000"/>
          </w:tcPr>
          <w:p w14:paraId="0FF0119D"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7BDEAA9B"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1E3336" w14:textId="77777777" w:rsidR="00B51568" w:rsidRPr="0064106D" w:rsidRDefault="00B51568" w:rsidP="00BF676F">
            <w:pPr>
              <w:spacing w:before="120" w:after="120"/>
              <w:rPr>
                <w:rFonts w:cs="Poppins"/>
                <w:noProof/>
                <w:sz w:val="14"/>
                <w:szCs w:val="14"/>
              </w:rPr>
            </w:pPr>
            <w:r w:rsidRPr="0064106D">
              <w:rPr>
                <w:rFonts w:cs="Poppins"/>
                <w:noProof/>
                <w:sz w:val="14"/>
                <w:szCs w:val="14"/>
              </w:rPr>
              <w:t>BE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29F8771" w14:textId="77777777" w:rsidR="00B51568" w:rsidRPr="0064106D" w:rsidRDefault="00B51568" w:rsidP="00BF676F">
            <w:pPr>
              <w:spacing w:before="120" w:after="120"/>
              <w:rPr>
                <w:rFonts w:cs="Poppins"/>
                <w:noProof/>
                <w:sz w:val="14"/>
                <w:szCs w:val="14"/>
              </w:rPr>
            </w:pPr>
            <w:r w:rsidRPr="0064106D">
              <w:rPr>
                <w:rFonts w:cs="Poppins"/>
                <w:noProof/>
                <w:sz w:val="14"/>
                <w:szCs w:val="14"/>
              </w:rPr>
              <w:t>13%</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2D1BD850" w14:textId="77777777" w:rsidR="00B51568" w:rsidRPr="0064106D" w:rsidRDefault="00B51568" w:rsidP="00BF676F">
            <w:pPr>
              <w:spacing w:before="120" w:after="120"/>
              <w:rPr>
                <w:rFonts w:cs="Poppins"/>
                <w:noProof/>
                <w:sz w:val="14"/>
                <w:szCs w:val="14"/>
              </w:rPr>
            </w:pPr>
            <w:r w:rsidRPr="0064106D">
              <w:rPr>
                <w:rFonts w:cs="Poppins"/>
                <w:noProof/>
                <w:sz w:val="14"/>
                <w:szCs w:val="14"/>
              </w:rPr>
              <w:t>13.0%</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0463BDF" w14:textId="77777777" w:rsidR="00B51568" w:rsidRPr="0064106D" w:rsidRDefault="00B51568" w:rsidP="00BF676F">
            <w:pPr>
              <w:spacing w:before="120" w:after="120"/>
              <w:rPr>
                <w:rFonts w:cs="Poppins"/>
                <w:noProof/>
                <w:sz w:val="14"/>
                <w:szCs w:val="14"/>
              </w:rPr>
            </w:pPr>
            <w:r w:rsidRPr="0064106D">
              <w:rPr>
                <w:rFonts w:cs="Poppins"/>
                <w:noProof/>
                <w:sz w:val="14"/>
                <w:szCs w:val="14"/>
              </w:rPr>
              <w:t>21.7%</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173A670" w14:textId="77777777" w:rsidR="00B51568" w:rsidRPr="0064106D" w:rsidRDefault="00B51568" w:rsidP="00BF676F">
            <w:pPr>
              <w:spacing w:before="120" w:after="120"/>
              <w:rPr>
                <w:rFonts w:cs="Poppins"/>
                <w:noProof/>
                <w:sz w:val="14"/>
                <w:szCs w:val="14"/>
              </w:rPr>
            </w:pPr>
            <w:r w:rsidRPr="0064106D">
              <w:rPr>
                <w:rFonts w:cs="Poppins"/>
                <w:noProof/>
                <w:sz w:val="14"/>
                <w:szCs w:val="14"/>
              </w:rPr>
              <w:t>33%</w:t>
            </w:r>
          </w:p>
        </w:tc>
        <w:tc>
          <w:tcPr>
            <w:tcW w:w="2835" w:type="dxa"/>
            <w:tcBorders>
              <w:top w:val="nil"/>
              <w:left w:val="single" w:sz="4" w:space="0" w:color="auto"/>
              <w:bottom w:val="single" w:sz="8" w:space="0" w:color="auto"/>
              <w:right w:val="single" w:sz="8" w:space="0" w:color="auto"/>
            </w:tcBorders>
            <w:shd w:val="clear" w:color="auto" w:fill="FF0000"/>
          </w:tcPr>
          <w:p w14:paraId="0CC4FB05"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33FADFEE"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43FA91" w14:textId="77777777" w:rsidR="00B51568" w:rsidRPr="0064106D" w:rsidRDefault="00B51568" w:rsidP="00BF676F">
            <w:pPr>
              <w:spacing w:before="120" w:after="120"/>
              <w:rPr>
                <w:rFonts w:cs="Poppins"/>
                <w:noProof/>
                <w:sz w:val="14"/>
                <w:szCs w:val="14"/>
              </w:rPr>
            </w:pPr>
            <w:r w:rsidRPr="0064106D">
              <w:rPr>
                <w:rFonts w:cs="Poppins"/>
                <w:noProof/>
                <w:sz w:val="14"/>
                <w:szCs w:val="14"/>
              </w:rPr>
              <w:t>BG</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2F042B3" w14:textId="77777777" w:rsidR="00B51568" w:rsidRPr="0064106D" w:rsidRDefault="00B51568" w:rsidP="00BF676F">
            <w:pPr>
              <w:spacing w:before="120" w:after="120"/>
              <w:rPr>
                <w:rFonts w:cs="Poppins"/>
                <w:noProof/>
                <w:sz w:val="14"/>
                <w:szCs w:val="14"/>
              </w:rPr>
            </w:pPr>
            <w:r w:rsidRPr="0064106D">
              <w:rPr>
                <w:rFonts w:cs="Poppins"/>
                <w:noProof/>
                <w:sz w:val="14"/>
                <w:szCs w:val="14"/>
              </w:rPr>
              <w:t>16%</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663BA571" w14:textId="77777777" w:rsidR="00B51568" w:rsidRPr="0064106D" w:rsidRDefault="00B51568" w:rsidP="00BF676F">
            <w:pPr>
              <w:spacing w:before="120" w:after="120"/>
              <w:rPr>
                <w:rFonts w:cs="Poppins"/>
                <w:noProof/>
                <w:sz w:val="14"/>
                <w:szCs w:val="14"/>
              </w:rPr>
            </w:pPr>
            <w:r w:rsidRPr="0064106D">
              <w:rPr>
                <w:rFonts w:cs="Poppins"/>
                <w:noProof/>
                <w:sz w:val="14"/>
                <w:szCs w:val="14"/>
              </w:rPr>
              <w:t>17.0%</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1946C6C8" w14:textId="77777777" w:rsidR="00B51568" w:rsidRPr="0064106D" w:rsidRDefault="00B51568" w:rsidP="00BF676F">
            <w:pPr>
              <w:spacing w:before="120" w:after="120"/>
              <w:rPr>
                <w:rFonts w:cs="Poppins"/>
                <w:noProof/>
                <w:sz w:val="14"/>
                <w:szCs w:val="14"/>
              </w:rPr>
            </w:pPr>
            <w:r w:rsidRPr="0064106D">
              <w:rPr>
                <w:rFonts w:cs="Poppins"/>
                <w:noProof/>
                <w:sz w:val="14"/>
                <w:szCs w:val="14"/>
              </w:rPr>
              <w:t>29.9%</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B449B41" w14:textId="77777777" w:rsidR="00B51568" w:rsidRPr="0064106D" w:rsidRDefault="00B51568" w:rsidP="00BF676F">
            <w:pPr>
              <w:spacing w:before="120" w:after="120"/>
              <w:rPr>
                <w:rFonts w:cs="Poppins"/>
                <w:noProof/>
                <w:sz w:val="14"/>
                <w:szCs w:val="14"/>
              </w:rPr>
            </w:pPr>
            <w:r w:rsidRPr="0064106D">
              <w:rPr>
                <w:rFonts w:cs="Poppins"/>
                <w:noProof/>
                <w:sz w:val="14"/>
                <w:szCs w:val="14"/>
              </w:rPr>
              <w:t>33%</w:t>
            </w:r>
          </w:p>
        </w:tc>
        <w:tc>
          <w:tcPr>
            <w:tcW w:w="2835" w:type="dxa"/>
            <w:tcBorders>
              <w:top w:val="nil"/>
              <w:left w:val="single" w:sz="4" w:space="0" w:color="auto"/>
              <w:bottom w:val="single" w:sz="8" w:space="0" w:color="auto"/>
              <w:right w:val="single" w:sz="8" w:space="0" w:color="auto"/>
            </w:tcBorders>
            <w:shd w:val="clear" w:color="auto" w:fill="FFFF00"/>
          </w:tcPr>
          <w:p w14:paraId="2204FA16" w14:textId="77777777" w:rsidR="00B51568" w:rsidRPr="0064106D" w:rsidRDefault="00B51568" w:rsidP="00BF676F">
            <w:pPr>
              <w:spacing w:before="120" w:after="120"/>
              <w:rPr>
                <w:rFonts w:cs="Poppins"/>
                <w:noProof/>
                <w:sz w:val="14"/>
                <w:szCs w:val="14"/>
              </w:rPr>
            </w:pPr>
            <w:r w:rsidRPr="0064106D">
              <w:rPr>
                <w:rFonts w:cs="Poppins"/>
                <w:noProof/>
                <w:sz w:val="14"/>
                <w:szCs w:val="14"/>
              </w:rPr>
              <w:t>Por debajo</w:t>
            </w:r>
          </w:p>
        </w:tc>
      </w:tr>
      <w:tr w:rsidR="00B51568" w:rsidRPr="0064106D" w14:paraId="0EF8C269"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6D814E" w14:textId="77777777" w:rsidR="00B51568" w:rsidRPr="0064106D" w:rsidRDefault="00B51568" w:rsidP="00BF676F">
            <w:pPr>
              <w:spacing w:before="120" w:after="120"/>
              <w:rPr>
                <w:rFonts w:cs="Poppins"/>
                <w:noProof/>
                <w:sz w:val="14"/>
                <w:szCs w:val="14"/>
              </w:rPr>
            </w:pPr>
            <w:r w:rsidRPr="0064106D">
              <w:rPr>
                <w:rFonts w:cs="Poppins"/>
                <w:noProof/>
                <w:sz w:val="14"/>
                <w:szCs w:val="14"/>
              </w:rPr>
              <w:t>CY</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0670FE" w14:textId="77777777" w:rsidR="00B51568" w:rsidRPr="0064106D" w:rsidRDefault="00B51568" w:rsidP="00BF676F">
            <w:pPr>
              <w:spacing w:before="120" w:after="120"/>
              <w:rPr>
                <w:rFonts w:cs="Poppins"/>
                <w:noProof/>
                <w:sz w:val="14"/>
                <w:szCs w:val="14"/>
              </w:rPr>
            </w:pPr>
            <w:r w:rsidRPr="0064106D">
              <w:rPr>
                <w:rFonts w:cs="Poppins"/>
                <w:noProof/>
                <w:sz w:val="14"/>
                <w:szCs w:val="14"/>
              </w:rPr>
              <w:t>13%</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10298A15" w14:textId="77777777" w:rsidR="00B51568" w:rsidRPr="0064106D" w:rsidRDefault="00B51568" w:rsidP="00BF676F">
            <w:pPr>
              <w:spacing w:before="120" w:after="120"/>
              <w:rPr>
                <w:rFonts w:cs="Poppins"/>
                <w:noProof/>
                <w:sz w:val="14"/>
                <w:szCs w:val="14"/>
              </w:rPr>
            </w:pPr>
            <w:r w:rsidRPr="0064106D">
              <w:rPr>
                <w:rFonts w:cs="Poppins"/>
                <w:noProof/>
                <w:sz w:val="14"/>
                <w:szCs w:val="14"/>
              </w:rPr>
              <w:t>18.4%</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24A2F7E2" w14:textId="77777777" w:rsidR="00B51568" w:rsidRPr="0064106D" w:rsidRDefault="00B51568" w:rsidP="00BF676F">
            <w:pPr>
              <w:spacing w:before="120" w:after="120"/>
              <w:rPr>
                <w:rFonts w:cs="Poppins"/>
                <w:noProof/>
                <w:sz w:val="14"/>
                <w:szCs w:val="14"/>
              </w:rPr>
            </w:pPr>
            <w:r w:rsidRPr="0064106D">
              <w:rPr>
                <w:rFonts w:cs="Poppins"/>
                <w:noProof/>
                <w:sz w:val="14"/>
                <w:szCs w:val="14"/>
              </w:rPr>
              <w:t>26.5%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B0C720B" w14:textId="77777777" w:rsidR="00B51568" w:rsidRPr="0064106D" w:rsidRDefault="00B51568" w:rsidP="00BF676F">
            <w:pPr>
              <w:spacing w:before="120" w:after="120"/>
              <w:rPr>
                <w:rFonts w:cs="Poppins"/>
                <w:noProof/>
                <w:sz w:val="14"/>
                <w:szCs w:val="14"/>
              </w:rPr>
            </w:pPr>
            <w:r w:rsidRPr="0064106D">
              <w:rPr>
                <w:rFonts w:cs="Poppins"/>
                <w:noProof/>
                <w:sz w:val="14"/>
                <w:szCs w:val="14"/>
              </w:rPr>
              <w:t>33%</w:t>
            </w:r>
          </w:p>
        </w:tc>
        <w:tc>
          <w:tcPr>
            <w:tcW w:w="2835" w:type="dxa"/>
            <w:tcBorders>
              <w:top w:val="nil"/>
              <w:left w:val="single" w:sz="4" w:space="0" w:color="auto"/>
              <w:bottom w:val="single" w:sz="8" w:space="0" w:color="auto"/>
              <w:right w:val="single" w:sz="8" w:space="0" w:color="auto"/>
            </w:tcBorders>
            <w:shd w:val="clear" w:color="auto" w:fill="FF0000"/>
          </w:tcPr>
          <w:p w14:paraId="477FDAC6"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4A6F81AB"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46FFDF" w14:textId="77777777" w:rsidR="00B51568" w:rsidRPr="0064106D" w:rsidRDefault="00B51568" w:rsidP="00BF676F">
            <w:pPr>
              <w:spacing w:before="120" w:after="120"/>
              <w:rPr>
                <w:rFonts w:cs="Poppins"/>
                <w:noProof/>
                <w:sz w:val="14"/>
                <w:szCs w:val="14"/>
              </w:rPr>
            </w:pPr>
            <w:r w:rsidRPr="0064106D">
              <w:rPr>
                <w:rFonts w:cs="Poppins"/>
                <w:noProof/>
                <w:sz w:val="14"/>
                <w:szCs w:val="14"/>
              </w:rPr>
              <w:t>CZ</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6D30406" w14:textId="77777777" w:rsidR="00B51568" w:rsidRPr="0064106D" w:rsidRDefault="00B51568" w:rsidP="00BF676F">
            <w:pPr>
              <w:spacing w:before="120" w:after="120"/>
              <w:rPr>
                <w:rFonts w:cs="Poppins"/>
                <w:noProof/>
                <w:sz w:val="14"/>
                <w:szCs w:val="14"/>
              </w:rPr>
            </w:pPr>
            <w:r w:rsidRPr="0064106D">
              <w:rPr>
                <w:rFonts w:cs="Poppins"/>
                <w:noProof/>
                <w:sz w:val="14"/>
                <w:szCs w:val="14"/>
              </w:rPr>
              <w:t>13%</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784E3750" w14:textId="77777777" w:rsidR="00B51568" w:rsidRPr="0064106D" w:rsidRDefault="00B51568" w:rsidP="00BF676F">
            <w:pPr>
              <w:spacing w:before="120" w:after="120"/>
              <w:rPr>
                <w:rFonts w:cs="Poppins"/>
                <w:noProof/>
                <w:sz w:val="14"/>
                <w:szCs w:val="14"/>
              </w:rPr>
            </w:pPr>
            <w:r w:rsidRPr="0064106D">
              <w:rPr>
                <w:rFonts w:cs="Poppins"/>
                <w:noProof/>
                <w:sz w:val="14"/>
                <w:szCs w:val="14"/>
              </w:rPr>
              <w:t>17.7%</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6BACEFCC" w14:textId="77777777" w:rsidR="00B51568" w:rsidRPr="0064106D" w:rsidRDefault="00B51568" w:rsidP="00BF676F">
            <w:pPr>
              <w:spacing w:before="120" w:after="120"/>
              <w:rPr>
                <w:rFonts w:cs="Poppins"/>
                <w:noProof/>
                <w:sz w:val="14"/>
                <w:szCs w:val="14"/>
              </w:rPr>
            </w:pPr>
            <w:r w:rsidRPr="0064106D">
              <w:rPr>
                <w:rFonts w:cs="Poppins"/>
                <w:noProof/>
                <w:sz w:val="14"/>
                <w:szCs w:val="14"/>
              </w:rPr>
              <w:t>30%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4784923" w14:textId="77777777" w:rsidR="00B51568" w:rsidRPr="0064106D" w:rsidRDefault="00B51568" w:rsidP="00BF676F">
            <w:pPr>
              <w:spacing w:before="120" w:after="120"/>
              <w:rPr>
                <w:rFonts w:cs="Poppins"/>
                <w:noProof/>
                <w:sz w:val="14"/>
                <w:szCs w:val="14"/>
              </w:rPr>
            </w:pPr>
            <w:r w:rsidRPr="0064106D">
              <w:rPr>
                <w:rFonts w:cs="Poppins"/>
                <w:noProof/>
                <w:sz w:val="14"/>
                <w:szCs w:val="14"/>
              </w:rPr>
              <w:t>33%</w:t>
            </w:r>
          </w:p>
        </w:tc>
        <w:tc>
          <w:tcPr>
            <w:tcW w:w="2835" w:type="dxa"/>
            <w:tcBorders>
              <w:top w:val="nil"/>
              <w:left w:val="single" w:sz="4" w:space="0" w:color="auto"/>
              <w:bottom w:val="single" w:sz="8" w:space="0" w:color="auto"/>
              <w:right w:val="single" w:sz="8" w:space="0" w:color="auto"/>
            </w:tcBorders>
            <w:shd w:val="clear" w:color="auto" w:fill="FFFF00"/>
          </w:tcPr>
          <w:p w14:paraId="759AB06F" w14:textId="77777777" w:rsidR="00B51568" w:rsidRPr="0064106D" w:rsidRDefault="00B51568" w:rsidP="00BF676F">
            <w:pPr>
              <w:spacing w:before="120" w:after="120"/>
              <w:rPr>
                <w:rFonts w:cs="Poppins"/>
                <w:noProof/>
                <w:sz w:val="14"/>
                <w:szCs w:val="14"/>
              </w:rPr>
            </w:pPr>
            <w:r w:rsidRPr="0064106D">
              <w:rPr>
                <w:rFonts w:cs="Poppins"/>
                <w:noProof/>
                <w:sz w:val="14"/>
                <w:szCs w:val="14"/>
              </w:rPr>
              <w:t>Por debajo</w:t>
            </w:r>
          </w:p>
        </w:tc>
      </w:tr>
      <w:tr w:rsidR="00B51568" w:rsidRPr="0064106D" w14:paraId="43316018"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CE53F7" w14:textId="77777777" w:rsidR="00B51568" w:rsidRPr="0064106D" w:rsidRDefault="00B51568" w:rsidP="00BF676F">
            <w:pPr>
              <w:spacing w:before="120" w:after="120"/>
              <w:rPr>
                <w:rFonts w:cs="Poppins"/>
                <w:noProof/>
                <w:sz w:val="14"/>
                <w:szCs w:val="14"/>
              </w:rPr>
            </w:pPr>
            <w:r w:rsidRPr="0064106D">
              <w:rPr>
                <w:rFonts w:cs="Poppins"/>
                <w:noProof/>
                <w:sz w:val="14"/>
                <w:szCs w:val="14"/>
              </w:rPr>
              <w:t>DE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077F237" w14:textId="77777777" w:rsidR="00B51568" w:rsidRPr="0064106D" w:rsidRDefault="00B51568" w:rsidP="00BF676F">
            <w:pPr>
              <w:spacing w:before="120" w:after="120"/>
              <w:rPr>
                <w:rFonts w:cs="Poppins"/>
                <w:noProof/>
                <w:sz w:val="14"/>
                <w:szCs w:val="14"/>
              </w:rPr>
            </w:pPr>
            <w:r w:rsidRPr="0064106D">
              <w:rPr>
                <w:rFonts w:cs="Poppins"/>
                <w:noProof/>
                <w:sz w:val="14"/>
                <w:szCs w:val="14"/>
              </w:rPr>
              <w:t>18%</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0493E666" w14:textId="77777777" w:rsidR="00B51568" w:rsidRPr="0064106D" w:rsidRDefault="00B51568" w:rsidP="00BF676F">
            <w:pPr>
              <w:spacing w:before="120" w:after="120"/>
              <w:rPr>
                <w:rFonts w:cs="Poppins"/>
                <w:noProof/>
                <w:sz w:val="14"/>
                <w:szCs w:val="14"/>
              </w:rPr>
            </w:pPr>
            <w:r w:rsidRPr="0064106D">
              <w:rPr>
                <w:rFonts w:cs="Poppins"/>
                <w:noProof/>
                <w:sz w:val="14"/>
                <w:szCs w:val="14"/>
              </w:rPr>
              <w:t>19.2%</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38FA964C" w14:textId="77777777" w:rsidR="00B51568" w:rsidRPr="0064106D" w:rsidRDefault="00B51568" w:rsidP="00BF676F">
            <w:pPr>
              <w:spacing w:before="120" w:after="120"/>
              <w:rPr>
                <w:rFonts w:cs="Poppins"/>
                <w:noProof/>
                <w:sz w:val="14"/>
                <w:szCs w:val="14"/>
              </w:rPr>
            </w:pPr>
            <w:r w:rsidRPr="0064106D">
              <w:rPr>
                <w:rFonts w:cs="Poppins"/>
                <w:noProof/>
                <w:sz w:val="14"/>
                <w:szCs w:val="14"/>
              </w:rPr>
              <w:t>40%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64A0C7" w14:textId="77777777" w:rsidR="00B51568" w:rsidRPr="0064106D" w:rsidRDefault="00B51568" w:rsidP="00BF676F">
            <w:pPr>
              <w:spacing w:before="120" w:after="120"/>
              <w:rPr>
                <w:rFonts w:cs="Poppins"/>
                <w:noProof/>
                <w:sz w:val="14"/>
                <w:szCs w:val="14"/>
              </w:rPr>
            </w:pPr>
            <w:r w:rsidRPr="0064106D">
              <w:rPr>
                <w:rFonts w:cs="Poppins"/>
                <w:noProof/>
                <w:sz w:val="14"/>
                <w:szCs w:val="14"/>
              </w:rPr>
              <w:t>41%</w:t>
            </w:r>
          </w:p>
        </w:tc>
        <w:tc>
          <w:tcPr>
            <w:tcW w:w="2835" w:type="dxa"/>
            <w:tcBorders>
              <w:top w:val="nil"/>
              <w:left w:val="single" w:sz="4" w:space="0" w:color="auto"/>
              <w:bottom w:val="single" w:sz="8" w:space="0" w:color="auto"/>
              <w:right w:val="single" w:sz="8" w:space="0" w:color="auto"/>
            </w:tcBorders>
            <w:shd w:val="clear" w:color="auto" w:fill="FFC000"/>
          </w:tcPr>
          <w:p w14:paraId="2F78AA7E" w14:textId="77777777" w:rsidR="00B51568" w:rsidRPr="0064106D" w:rsidRDefault="00B51568" w:rsidP="00BF676F">
            <w:pPr>
              <w:spacing w:before="120" w:after="120"/>
              <w:rPr>
                <w:rFonts w:cs="Poppins"/>
                <w:noProof/>
                <w:sz w:val="14"/>
                <w:szCs w:val="14"/>
              </w:rPr>
            </w:pPr>
            <w:r w:rsidRPr="0064106D">
              <w:rPr>
                <w:rFonts w:cs="Poppins"/>
                <w:noProof/>
                <w:sz w:val="14"/>
                <w:szCs w:val="14"/>
              </w:rPr>
              <w:t>Ligeramente por debajo</w:t>
            </w:r>
          </w:p>
        </w:tc>
      </w:tr>
      <w:tr w:rsidR="00B51568" w:rsidRPr="0064106D" w14:paraId="5FB2E83C"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40430C" w14:textId="77777777" w:rsidR="00B51568" w:rsidRPr="0064106D" w:rsidRDefault="00B51568" w:rsidP="00BF676F">
            <w:pPr>
              <w:spacing w:before="120" w:after="120"/>
              <w:rPr>
                <w:rFonts w:cs="Poppins"/>
                <w:noProof/>
                <w:sz w:val="14"/>
                <w:szCs w:val="14"/>
              </w:rPr>
            </w:pPr>
            <w:r w:rsidRPr="0064106D">
              <w:rPr>
                <w:rFonts w:cs="Poppins"/>
                <w:noProof/>
                <w:sz w:val="14"/>
                <w:szCs w:val="14"/>
              </w:rPr>
              <w:t>DK</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4590464" w14:textId="77777777" w:rsidR="00B51568" w:rsidRPr="0064106D" w:rsidRDefault="00B51568" w:rsidP="00BF676F">
            <w:pPr>
              <w:spacing w:before="120" w:after="120"/>
              <w:rPr>
                <w:rFonts w:cs="Poppins"/>
                <w:noProof/>
                <w:sz w:val="14"/>
                <w:szCs w:val="14"/>
              </w:rPr>
            </w:pPr>
            <w:r w:rsidRPr="0064106D">
              <w:rPr>
                <w:rFonts w:cs="Poppins"/>
                <w:noProof/>
                <w:sz w:val="14"/>
                <w:szCs w:val="14"/>
              </w:rPr>
              <w:t>30%</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560A52C8" w14:textId="77777777" w:rsidR="00B51568" w:rsidRPr="0064106D" w:rsidRDefault="00B51568" w:rsidP="00BF676F">
            <w:pPr>
              <w:spacing w:before="120" w:after="120"/>
              <w:rPr>
                <w:rFonts w:cs="Poppins"/>
                <w:noProof/>
                <w:sz w:val="14"/>
                <w:szCs w:val="14"/>
              </w:rPr>
            </w:pPr>
            <w:r w:rsidRPr="0064106D">
              <w:rPr>
                <w:rFonts w:cs="Poppins"/>
                <w:noProof/>
                <w:sz w:val="14"/>
                <w:szCs w:val="14"/>
              </w:rPr>
              <w:t>34.7%</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6516B66B" w14:textId="77777777" w:rsidR="00B51568" w:rsidRPr="0064106D" w:rsidRDefault="00B51568" w:rsidP="00BF676F">
            <w:pPr>
              <w:spacing w:before="120" w:after="120"/>
              <w:rPr>
                <w:rFonts w:cs="Poppins"/>
                <w:noProof/>
                <w:sz w:val="14"/>
                <w:szCs w:val="14"/>
              </w:rPr>
            </w:pPr>
            <w:r w:rsidRPr="0064106D">
              <w:rPr>
                <w:rFonts w:cs="Poppins"/>
                <w:noProof/>
                <w:sz w:val="14"/>
                <w:szCs w:val="14"/>
              </w:rPr>
              <w:t>70.9%</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3611910" w14:textId="77777777" w:rsidR="00B51568" w:rsidRPr="0064106D" w:rsidRDefault="00B51568" w:rsidP="00BF676F">
            <w:pPr>
              <w:spacing w:before="120" w:after="120"/>
              <w:rPr>
                <w:rFonts w:cs="Poppins"/>
                <w:noProof/>
                <w:sz w:val="14"/>
                <w:szCs w:val="14"/>
              </w:rPr>
            </w:pPr>
            <w:r w:rsidRPr="0064106D">
              <w:rPr>
                <w:rFonts w:cs="Poppins"/>
                <w:noProof/>
                <w:sz w:val="14"/>
                <w:szCs w:val="14"/>
              </w:rPr>
              <w:t>60%</w:t>
            </w:r>
          </w:p>
        </w:tc>
        <w:tc>
          <w:tcPr>
            <w:tcW w:w="2835" w:type="dxa"/>
            <w:tcBorders>
              <w:top w:val="nil"/>
              <w:left w:val="single" w:sz="4" w:space="0" w:color="auto"/>
              <w:bottom w:val="single" w:sz="8" w:space="0" w:color="auto"/>
              <w:right w:val="single" w:sz="8" w:space="0" w:color="auto"/>
            </w:tcBorders>
            <w:shd w:val="clear" w:color="auto" w:fill="00B050"/>
          </w:tcPr>
          <w:p w14:paraId="2F0B4DC2"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encima</w:t>
            </w:r>
          </w:p>
        </w:tc>
      </w:tr>
      <w:tr w:rsidR="00B51568" w:rsidRPr="0064106D" w14:paraId="7944540C"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84410D" w14:textId="77777777" w:rsidR="00B51568" w:rsidRPr="0064106D" w:rsidRDefault="00B51568" w:rsidP="00BF676F">
            <w:pPr>
              <w:spacing w:before="120" w:after="120"/>
              <w:rPr>
                <w:rFonts w:cs="Poppins"/>
                <w:noProof/>
                <w:sz w:val="14"/>
                <w:szCs w:val="14"/>
              </w:rPr>
            </w:pPr>
            <w:r w:rsidRPr="0064106D">
              <w:rPr>
                <w:rFonts w:cs="Poppins"/>
                <w:noProof/>
                <w:sz w:val="14"/>
                <w:szCs w:val="14"/>
              </w:rPr>
              <w:t>EE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C08836" w14:textId="77777777" w:rsidR="00B51568" w:rsidRPr="0064106D" w:rsidRDefault="00B51568" w:rsidP="00BF676F">
            <w:pPr>
              <w:spacing w:before="120" w:after="120"/>
              <w:rPr>
                <w:rFonts w:cs="Poppins"/>
                <w:noProof/>
                <w:sz w:val="14"/>
                <w:szCs w:val="14"/>
              </w:rPr>
            </w:pPr>
            <w:r w:rsidRPr="0064106D">
              <w:rPr>
                <w:rFonts w:cs="Poppins"/>
                <w:noProof/>
                <w:sz w:val="14"/>
                <w:szCs w:val="14"/>
              </w:rPr>
              <w:t>25%</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46363617" w14:textId="77777777" w:rsidR="00B51568" w:rsidRPr="0064106D" w:rsidRDefault="00B51568" w:rsidP="00BF676F">
            <w:pPr>
              <w:spacing w:before="120" w:after="120"/>
              <w:rPr>
                <w:rFonts w:cs="Poppins"/>
                <w:noProof/>
                <w:sz w:val="14"/>
                <w:szCs w:val="14"/>
              </w:rPr>
            </w:pPr>
            <w:r w:rsidRPr="0064106D">
              <w:rPr>
                <w:rFonts w:cs="Poppins"/>
                <w:noProof/>
                <w:sz w:val="14"/>
                <w:szCs w:val="14"/>
              </w:rPr>
              <w:t>38.0%</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28C5EC38" w14:textId="77777777" w:rsidR="00B51568" w:rsidRPr="0064106D" w:rsidRDefault="00B51568" w:rsidP="00BF676F">
            <w:pPr>
              <w:spacing w:before="120" w:after="120"/>
              <w:rPr>
                <w:rFonts w:cs="Poppins"/>
                <w:noProof/>
                <w:sz w:val="14"/>
                <w:szCs w:val="14"/>
              </w:rPr>
            </w:pPr>
            <w:r w:rsidRPr="0064106D">
              <w:rPr>
                <w:rFonts w:cs="Poppins"/>
                <w:noProof/>
                <w:sz w:val="14"/>
                <w:szCs w:val="14"/>
              </w:rPr>
              <w:t>65%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C03EE58" w14:textId="77777777" w:rsidR="00B51568" w:rsidRPr="0064106D" w:rsidRDefault="00B51568" w:rsidP="00BF676F">
            <w:pPr>
              <w:spacing w:before="120" w:after="120"/>
              <w:rPr>
                <w:rFonts w:cs="Poppins"/>
                <w:noProof/>
                <w:sz w:val="14"/>
                <w:szCs w:val="14"/>
              </w:rPr>
            </w:pPr>
            <w:r w:rsidRPr="0064106D">
              <w:rPr>
                <w:rFonts w:cs="Poppins"/>
                <w:noProof/>
                <w:sz w:val="14"/>
                <w:szCs w:val="14"/>
              </w:rPr>
              <w:t>50%</w:t>
            </w:r>
          </w:p>
        </w:tc>
        <w:tc>
          <w:tcPr>
            <w:tcW w:w="2835" w:type="dxa"/>
            <w:tcBorders>
              <w:top w:val="nil"/>
              <w:left w:val="single" w:sz="4" w:space="0" w:color="auto"/>
              <w:bottom w:val="single" w:sz="8" w:space="0" w:color="auto"/>
              <w:right w:val="single" w:sz="8" w:space="0" w:color="auto"/>
            </w:tcBorders>
            <w:shd w:val="clear" w:color="auto" w:fill="00B050"/>
          </w:tcPr>
          <w:p w14:paraId="4DDB832E"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encima</w:t>
            </w:r>
          </w:p>
        </w:tc>
      </w:tr>
      <w:tr w:rsidR="00B51568" w:rsidRPr="0064106D" w14:paraId="66E3C29E"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59567B" w14:textId="77777777" w:rsidR="00B51568" w:rsidRPr="0064106D" w:rsidRDefault="00B51568" w:rsidP="00BF676F">
            <w:pPr>
              <w:spacing w:before="120" w:after="120"/>
              <w:rPr>
                <w:rFonts w:cs="Poppins"/>
                <w:noProof/>
                <w:sz w:val="14"/>
                <w:szCs w:val="14"/>
              </w:rPr>
            </w:pPr>
            <w:r w:rsidRPr="0064106D">
              <w:rPr>
                <w:rFonts w:cs="Poppins"/>
                <w:noProof/>
                <w:sz w:val="14"/>
                <w:szCs w:val="14"/>
              </w:rPr>
              <w:t>EL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7578BEA" w14:textId="77777777" w:rsidR="00B51568" w:rsidRPr="0064106D" w:rsidRDefault="00B51568" w:rsidP="00BF676F">
            <w:pPr>
              <w:spacing w:before="120" w:after="120"/>
              <w:rPr>
                <w:rFonts w:cs="Poppins"/>
                <w:noProof/>
                <w:sz w:val="14"/>
                <w:szCs w:val="14"/>
              </w:rPr>
            </w:pPr>
            <w:r w:rsidRPr="0064106D">
              <w:rPr>
                <w:rFonts w:cs="Poppins"/>
                <w:noProof/>
                <w:sz w:val="14"/>
                <w:szCs w:val="14"/>
              </w:rPr>
              <w:t>18%</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749F8B0A" w14:textId="77777777" w:rsidR="00B51568" w:rsidRPr="0064106D" w:rsidRDefault="00B51568" w:rsidP="00BF676F">
            <w:pPr>
              <w:spacing w:before="120" w:after="120"/>
              <w:rPr>
                <w:rFonts w:cs="Poppins"/>
                <w:noProof/>
                <w:sz w:val="14"/>
                <w:szCs w:val="14"/>
              </w:rPr>
            </w:pPr>
            <w:r w:rsidRPr="0064106D">
              <w:rPr>
                <w:rFonts w:cs="Poppins"/>
                <w:noProof/>
                <w:sz w:val="14"/>
                <w:szCs w:val="14"/>
              </w:rPr>
              <w:t>21.9%</w:t>
            </w:r>
          </w:p>
        </w:tc>
        <w:tc>
          <w:tcPr>
            <w:tcW w:w="1701" w:type="dxa"/>
            <w:tcBorders>
              <w:top w:val="single" w:sz="4" w:space="0" w:color="auto"/>
              <w:left w:val="double" w:sz="4" w:space="0" w:color="auto"/>
              <w:bottom w:val="single" w:sz="4" w:space="0" w:color="auto"/>
              <w:right w:val="single" w:sz="4" w:space="0" w:color="auto"/>
            </w:tcBorders>
            <w:noWrap/>
            <w:tcMar>
              <w:top w:w="0" w:type="dxa"/>
              <w:left w:w="108" w:type="dxa"/>
              <w:bottom w:w="0" w:type="dxa"/>
              <w:right w:w="108" w:type="dxa"/>
            </w:tcMar>
            <w:hideMark/>
          </w:tcPr>
          <w:p w14:paraId="27A5E25D" w14:textId="77777777" w:rsidR="00B51568" w:rsidRPr="0064106D" w:rsidRDefault="00B51568" w:rsidP="00BF676F">
            <w:pPr>
              <w:spacing w:before="120" w:after="120"/>
              <w:rPr>
                <w:rFonts w:cs="Poppins"/>
                <w:noProof/>
                <w:sz w:val="14"/>
                <w:szCs w:val="14"/>
              </w:rPr>
            </w:pPr>
            <w:r w:rsidRPr="0064106D">
              <w:rPr>
                <w:rFonts w:cs="Poppins"/>
                <w:noProof/>
                <w:sz w:val="14"/>
                <w:szCs w:val="14"/>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1E9DAA3" w14:textId="77777777" w:rsidR="00B51568" w:rsidRPr="0064106D" w:rsidRDefault="00B51568" w:rsidP="00BF676F">
            <w:pPr>
              <w:spacing w:before="120" w:after="120"/>
              <w:rPr>
                <w:rFonts w:cs="Poppins"/>
                <w:noProof/>
                <w:sz w:val="14"/>
                <w:szCs w:val="14"/>
              </w:rPr>
            </w:pPr>
            <w:r w:rsidRPr="0064106D">
              <w:rPr>
                <w:rFonts w:cs="Poppins"/>
                <w:noProof/>
                <w:sz w:val="14"/>
                <w:szCs w:val="14"/>
              </w:rPr>
              <w:t>39%</w:t>
            </w:r>
          </w:p>
        </w:tc>
        <w:tc>
          <w:tcPr>
            <w:tcW w:w="2835" w:type="dxa"/>
            <w:tcBorders>
              <w:top w:val="nil"/>
              <w:left w:val="single" w:sz="4" w:space="0" w:color="auto"/>
              <w:bottom w:val="single" w:sz="8" w:space="0" w:color="auto"/>
              <w:right w:val="single" w:sz="8" w:space="0" w:color="auto"/>
            </w:tcBorders>
            <w:shd w:val="clear" w:color="auto" w:fill="00B050"/>
          </w:tcPr>
          <w:p w14:paraId="23755251"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encima</w:t>
            </w:r>
          </w:p>
        </w:tc>
      </w:tr>
      <w:tr w:rsidR="00B51568" w:rsidRPr="0064106D" w14:paraId="5B980AA4"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AE1565" w14:textId="77777777" w:rsidR="00B51568" w:rsidRPr="0064106D" w:rsidRDefault="00B51568" w:rsidP="00BF676F">
            <w:pPr>
              <w:spacing w:before="120" w:after="120"/>
              <w:rPr>
                <w:rFonts w:cs="Poppins"/>
                <w:b/>
                <w:bCs/>
                <w:noProof/>
                <w:sz w:val="14"/>
                <w:szCs w:val="14"/>
              </w:rPr>
            </w:pPr>
            <w:r w:rsidRPr="0064106D">
              <w:rPr>
                <w:rFonts w:cs="Poppins"/>
                <w:b/>
                <w:bCs/>
                <w:noProof/>
                <w:sz w:val="14"/>
                <w:szCs w:val="14"/>
              </w:rPr>
              <w:t>ES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77900C" w14:textId="77777777" w:rsidR="00B51568" w:rsidRPr="0064106D" w:rsidRDefault="00B51568" w:rsidP="00BF676F">
            <w:pPr>
              <w:spacing w:before="120" w:after="120"/>
              <w:rPr>
                <w:rFonts w:cs="Poppins"/>
                <w:b/>
                <w:bCs/>
                <w:noProof/>
                <w:sz w:val="14"/>
                <w:szCs w:val="14"/>
              </w:rPr>
            </w:pPr>
            <w:r w:rsidRPr="0064106D">
              <w:rPr>
                <w:rFonts w:cs="Poppins"/>
                <w:b/>
                <w:bCs/>
                <w:noProof/>
                <w:sz w:val="14"/>
                <w:szCs w:val="14"/>
              </w:rPr>
              <w:t>20%</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6CDDD35B" w14:textId="77777777" w:rsidR="00B51568" w:rsidRPr="0064106D" w:rsidRDefault="00B51568" w:rsidP="00BF676F">
            <w:pPr>
              <w:spacing w:before="120" w:after="120"/>
              <w:rPr>
                <w:rFonts w:cs="Poppins"/>
                <w:b/>
                <w:bCs/>
                <w:noProof/>
                <w:sz w:val="14"/>
                <w:szCs w:val="14"/>
              </w:rPr>
            </w:pPr>
            <w:r w:rsidRPr="0064106D">
              <w:rPr>
                <w:rFonts w:cs="Poppins"/>
                <w:b/>
                <w:bCs/>
                <w:noProof/>
                <w:sz w:val="14"/>
                <w:szCs w:val="14"/>
              </w:rPr>
              <w:t>20.7%</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5023057" w14:textId="77777777" w:rsidR="00B51568" w:rsidRPr="0064106D" w:rsidRDefault="00B51568" w:rsidP="00BF676F">
            <w:pPr>
              <w:spacing w:before="120" w:after="120"/>
              <w:rPr>
                <w:rFonts w:cs="Poppins"/>
                <w:b/>
                <w:bCs/>
                <w:noProof/>
                <w:sz w:val="14"/>
                <w:szCs w:val="14"/>
              </w:rPr>
            </w:pPr>
            <w:r w:rsidRPr="0064106D">
              <w:rPr>
                <w:rFonts w:cs="Poppins"/>
                <w:b/>
                <w:bCs/>
                <w:noProof/>
                <w:sz w:val="14"/>
                <w:szCs w:val="14"/>
              </w:rPr>
              <w:t>47.9%</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052AD6" w14:textId="77777777" w:rsidR="00B51568" w:rsidRPr="0064106D" w:rsidRDefault="00B51568" w:rsidP="00BF676F">
            <w:pPr>
              <w:spacing w:before="120" w:after="120"/>
              <w:rPr>
                <w:rFonts w:cs="Poppins"/>
                <w:b/>
                <w:bCs/>
                <w:noProof/>
                <w:sz w:val="14"/>
                <w:szCs w:val="14"/>
              </w:rPr>
            </w:pPr>
            <w:r w:rsidRPr="0064106D">
              <w:rPr>
                <w:rFonts w:cs="Poppins"/>
                <w:b/>
                <w:bCs/>
                <w:noProof/>
                <w:sz w:val="14"/>
                <w:szCs w:val="14"/>
              </w:rPr>
              <w:t>43%</w:t>
            </w:r>
          </w:p>
        </w:tc>
        <w:tc>
          <w:tcPr>
            <w:tcW w:w="2835" w:type="dxa"/>
            <w:tcBorders>
              <w:top w:val="nil"/>
              <w:left w:val="single" w:sz="4" w:space="0" w:color="auto"/>
              <w:bottom w:val="single" w:sz="8" w:space="0" w:color="auto"/>
              <w:right w:val="single" w:sz="8" w:space="0" w:color="auto"/>
            </w:tcBorders>
            <w:shd w:val="clear" w:color="auto" w:fill="92D050"/>
          </w:tcPr>
          <w:p w14:paraId="3149142F" w14:textId="77777777" w:rsidR="00B51568" w:rsidRPr="0064106D" w:rsidRDefault="00B51568" w:rsidP="00BF676F">
            <w:pPr>
              <w:spacing w:before="120" w:after="120"/>
              <w:rPr>
                <w:rFonts w:cs="Poppins"/>
                <w:b/>
                <w:bCs/>
                <w:noProof/>
                <w:sz w:val="14"/>
                <w:szCs w:val="14"/>
              </w:rPr>
            </w:pPr>
            <w:r w:rsidRPr="0064106D">
              <w:rPr>
                <w:rFonts w:cs="Poppins"/>
                <w:b/>
                <w:bCs/>
                <w:noProof/>
                <w:sz w:val="14"/>
                <w:szCs w:val="14"/>
              </w:rPr>
              <w:t>Por encima</w:t>
            </w:r>
          </w:p>
        </w:tc>
      </w:tr>
      <w:tr w:rsidR="00B51568" w:rsidRPr="0064106D" w14:paraId="52EFB109"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DD1EED" w14:textId="77777777" w:rsidR="00B51568" w:rsidRPr="0064106D" w:rsidRDefault="00B51568" w:rsidP="00BF676F">
            <w:pPr>
              <w:spacing w:before="120" w:after="120"/>
              <w:rPr>
                <w:rFonts w:cs="Poppins"/>
                <w:noProof/>
                <w:sz w:val="14"/>
                <w:szCs w:val="14"/>
              </w:rPr>
            </w:pPr>
            <w:r w:rsidRPr="0064106D">
              <w:rPr>
                <w:rFonts w:cs="Poppins"/>
                <w:noProof/>
                <w:sz w:val="14"/>
                <w:szCs w:val="14"/>
              </w:rPr>
              <w:lastRenderedPageBreak/>
              <w:t>FI</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F852C6" w14:textId="77777777" w:rsidR="00B51568" w:rsidRPr="0064106D" w:rsidRDefault="00B51568" w:rsidP="00BF676F">
            <w:pPr>
              <w:spacing w:before="120" w:after="120"/>
              <w:rPr>
                <w:rFonts w:cs="Poppins"/>
                <w:noProof/>
                <w:sz w:val="14"/>
                <w:szCs w:val="14"/>
              </w:rPr>
            </w:pPr>
            <w:r w:rsidRPr="0064106D">
              <w:rPr>
                <w:rFonts w:cs="Poppins"/>
                <w:noProof/>
                <w:sz w:val="14"/>
                <w:szCs w:val="14"/>
              </w:rPr>
              <w:t>38%</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7C8C4653" w14:textId="77777777" w:rsidR="00B51568" w:rsidRPr="0064106D" w:rsidRDefault="00B51568" w:rsidP="00BF676F">
            <w:pPr>
              <w:spacing w:before="120" w:after="120"/>
              <w:rPr>
                <w:rFonts w:cs="Poppins"/>
                <w:noProof/>
                <w:sz w:val="14"/>
                <w:szCs w:val="14"/>
              </w:rPr>
            </w:pPr>
            <w:r w:rsidRPr="0064106D">
              <w:rPr>
                <w:rFonts w:cs="Poppins"/>
                <w:noProof/>
                <w:sz w:val="14"/>
                <w:szCs w:val="14"/>
              </w:rPr>
              <w:t>43.1%</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C72DA89" w14:textId="77777777" w:rsidR="00B51568" w:rsidRPr="0064106D" w:rsidRDefault="00B51568" w:rsidP="00BF676F">
            <w:pPr>
              <w:spacing w:before="120" w:after="120"/>
              <w:rPr>
                <w:rFonts w:cs="Poppins"/>
                <w:noProof/>
                <w:sz w:val="14"/>
                <w:szCs w:val="14"/>
              </w:rPr>
            </w:pPr>
            <w:r w:rsidRPr="0064106D">
              <w:rPr>
                <w:rFonts w:cs="Poppins"/>
                <w:noProof/>
                <w:sz w:val="14"/>
                <w:szCs w:val="14"/>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368153" w14:textId="77777777" w:rsidR="00B51568" w:rsidRPr="0064106D" w:rsidRDefault="00B51568" w:rsidP="00BF676F">
            <w:pPr>
              <w:spacing w:before="120" w:after="120"/>
              <w:rPr>
                <w:rFonts w:cs="Poppins"/>
                <w:noProof/>
                <w:sz w:val="14"/>
                <w:szCs w:val="14"/>
              </w:rPr>
            </w:pPr>
            <w:r w:rsidRPr="0064106D">
              <w:rPr>
                <w:rFonts w:cs="Poppins"/>
                <w:noProof/>
                <w:sz w:val="14"/>
                <w:szCs w:val="14"/>
              </w:rPr>
              <w:t>62%</w:t>
            </w:r>
          </w:p>
        </w:tc>
        <w:tc>
          <w:tcPr>
            <w:tcW w:w="2835" w:type="dxa"/>
            <w:tcBorders>
              <w:top w:val="nil"/>
              <w:left w:val="single" w:sz="4" w:space="0" w:color="auto"/>
              <w:bottom w:val="single" w:sz="8" w:space="0" w:color="auto"/>
              <w:right w:val="single" w:sz="8" w:space="0" w:color="auto"/>
            </w:tcBorders>
            <w:shd w:val="clear" w:color="auto" w:fill="FF0000"/>
          </w:tcPr>
          <w:p w14:paraId="3F0C38E6"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649E23D8"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678C2C" w14:textId="77777777" w:rsidR="00B51568" w:rsidRPr="0064106D" w:rsidRDefault="00B51568" w:rsidP="00BF676F">
            <w:pPr>
              <w:spacing w:before="120" w:after="120"/>
              <w:rPr>
                <w:rFonts w:cs="Poppins"/>
                <w:noProof/>
                <w:sz w:val="14"/>
                <w:szCs w:val="14"/>
              </w:rPr>
            </w:pPr>
            <w:r w:rsidRPr="0064106D">
              <w:rPr>
                <w:rFonts w:cs="Poppins"/>
                <w:noProof/>
                <w:sz w:val="14"/>
                <w:szCs w:val="14"/>
              </w:rPr>
              <w:t>FR</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94F06" w14:textId="77777777" w:rsidR="00B51568" w:rsidRPr="0064106D" w:rsidRDefault="00B51568" w:rsidP="00BF676F">
            <w:pPr>
              <w:spacing w:before="120" w:after="120"/>
              <w:rPr>
                <w:rFonts w:cs="Poppins"/>
                <w:noProof/>
                <w:sz w:val="14"/>
                <w:szCs w:val="14"/>
              </w:rPr>
            </w:pPr>
            <w:r w:rsidRPr="0064106D">
              <w:rPr>
                <w:rFonts w:cs="Poppins"/>
                <w:noProof/>
                <w:sz w:val="14"/>
                <w:szCs w:val="14"/>
              </w:rPr>
              <w:t>23%</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5BD96741" w14:textId="77777777" w:rsidR="00B51568" w:rsidRPr="0064106D" w:rsidRDefault="00B51568" w:rsidP="00BF676F">
            <w:pPr>
              <w:spacing w:before="120" w:after="120"/>
              <w:rPr>
                <w:rFonts w:cs="Poppins"/>
                <w:noProof/>
                <w:sz w:val="14"/>
                <w:szCs w:val="14"/>
              </w:rPr>
            </w:pPr>
            <w:r w:rsidRPr="0064106D">
              <w:rPr>
                <w:rFonts w:cs="Poppins"/>
                <w:noProof/>
                <w:sz w:val="14"/>
                <w:szCs w:val="14"/>
              </w:rPr>
              <w:t>19.3%</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E5B0CCB" w14:textId="77777777" w:rsidR="00B51568" w:rsidRPr="0064106D" w:rsidRDefault="00B51568" w:rsidP="00BF676F">
            <w:pPr>
              <w:spacing w:before="120" w:after="120"/>
              <w:rPr>
                <w:rFonts w:cs="Poppins"/>
                <w:noProof/>
                <w:sz w:val="14"/>
                <w:szCs w:val="14"/>
              </w:rPr>
            </w:pPr>
            <w:r w:rsidRPr="0064106D">
              <w:rPr>
                <w:rFonts w:cs="Poppins"/>
                <w:noProof/>
                <w:sz w:val="14"/>
                <w:szCs w:val="14"/>
              </w:rPr>
              <w:t>33%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6069BF7" w14:textId="77777777" w:rsidR="00B51568" w:rsidRPr="0064106D" w:rsidRDefault="00B51568" w:rsidP="00BF676F">
            <w:pPr>
              <w:spacing w:before="120" w:after="120"/>
              <w:rPr>
                <w:rFonts w:cs="Poppins"/>
                <w:noProof/>
                <w:sz w:val="14"/>
                <w:szCs w:val="14"/>
              </w:rPr>
            </w:pPr>
            <w:r w:rsidRPr="0064106D">
              <w:rPr>
                <w:rFonts w:cs="Poppins"/>
                <w:noProof/>
                <w:sz w:val="14"/>
                <w:szCs w:val="14"/>
              </w:rPr>
              <w:t>44%</w:t>
            </w:r>
          </w:p>
        </w:tc>
        <w:tc>
          <w:tcPr>
            <w:tcW w:w="2835" w:type="dxa"/>
            <w:tcBorders>
              <w:top w:val="nil"/>
              <w:left w:val="single" w:sz="4" w:space="0" w:color="auto"/>
              <w:bottom w:val="single" w:sz="8" w:space="0" w:color="auto"/>
              <w:right w:val="single" w:sz="8" w:space="0" w:color="auto"/>
            </w:tcBorders>
            <w:shd w:val="clear" w:color="auto" w:fill="FF0000"/>
          </w:tcPr>
          <w:p w14:paraId="069A32DE"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55D96343"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D21453" w14:textId="77777777" w:rsidR="00B51568" w:rsidRPr="0064106D" w:rsidRDefault="00B51568" w:rsidP="00BF676F">
            <w:pPr>
              <w:spacing w:before="120" w:after="120"/>
              <w:rPr>
                <w:rFonts w:cs="Poppins"/>
                <w:noProof/>
                <w:sz w:val="14"/>
                <w:szCs w:val="14"/>
              </w:rPr>
            </w:pPr>
            <w:r w:rsidRPr="0064106D">
              <w:rPr>
                <w:rFonts w:cs="Poppins"/>
                <w:noProof/>
                <w:sz w:val="14"/>
                <w:szCs w:val="14"/>
              </w:rPr>
              <w:t>HR</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627B7D" w14:textId="77777777" w:rsidR="00B51568" w:rsidRPr="0064106D" w:rsidRDefault="00B51568" w:rsidP="00BF676F">
            <w:pPr>
              <w:spacing w:before="120" w:after="120"/>
              <w:rPr>
                <w:rFonts w:cs="Poppins"/>
                <w:noProof/>
                <w:sz w:val="14"/>
                <w:szCs w:val="14"/>
              </w:rPr>
            </w:pPr>
            <w:r w:rsidRPr="0064106D">
              <w:rPr>
                <w:rFonts w:cs="Poppins"/>
                <w:noProof/>
                <w:sz w:val="14"/>
                <w:szCs w:val="14"/>
              </w:rPr>
              <w:t>20%</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44281AE4" w14:textId="77777777" w:rsidR="00B51568" w:rsidRPr="0064106D" w:rsidRDefault="00B51568" w:rsidP="00BF676F">
            <w:pPr>
              <w:spacing w:before="120" w:after="120"/>
              <w:rPr>
                <w:rFonts w:cs="Poppins"/>
                <w:noProof/>
                <w:sz w:val="14"/>
                <w:szCs w:val="14"/>
              </w:rPr>
            </w:pPr>
            <w:r w:rsidRPr="0064106D">
              <w:rPr>
                <w:rFonts w:cs="Poppins"/>
                <w:noProof/>
                <w:sz w:val="14"/>
                <w:szCs w:val="14"/>
              </w:rPr>
              <w:t>31.3%</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19C644F" w14:textId="77777777" w:rsidR="00B51568" w:rsidRPr="0064106D" w:rsidRDefault="00B51568" w:rsidP="00BF676F">
            <w:pPr>
              <w:spacing w:before="120" w:after="120"/>
              <w:rPr>
                <w:rFonts w:cs="Poppins"/>
                <w:noProof/>
                <w:sz w:val="14"/>
                <w:szCs w:val="14"/>
              </w:rPr>
            </w:pPr>
            <w:r w:rsidRPr="0064106D">
              <w:rPr>
                <w:rFonts w:cs="Poppins"/>
                <w:noProof/>
                <w:sz w:val="14"/>
                <w:szCs w:val="14"/>
              </w:rPr>
              <w:t>42.5%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C10F7A" w14:textId="77777777" w:rsidR="00B51568" w:rsidRPr="0064106D" w:rsidRDefault="00B51568" w:rsidP="00BF676F">
            <w:pPr>
              <w:spacing w:before="120" w:after="120"/>
              <w:rPr>
                <w:rFonts w:cs="Poppins"/>
                <w:noProof/>
                <w:sz w:val="14"/>
                <w:szCs w:val="14"/>
              </w:rPr>
            </w:pPr>
            <w:r w:rsidRPr="0064106D">
              <w:rPr>
                <w:rFonts w:cs="Poppins"/>
                <w:noProof/>
                <w:sz w:val="14"/>
                <w:szCs w:val="14"/>
              </w:rPr>
              <w:t>44%</w:t>
            </w:r>
          </w:p>
        </w:tc>
        <w:tc>
          <w:tcPr>
            <w:tcW w:w="2835" w:type="dxa"/>
            <w:tcBorders>
              <w:top w:val="nil"/>
              <w:left w:val="single" w:sz="4" w:space="0" w:color="auto"/>
              <w:bottom w:val="single" w:sz="8" w:space="0" w:color="auto"/>
              <w:right w:val="single" w:sz="8" w:space="0" w:color="auto"/>
            </w:tcBorders>
            <w:shd w:val="clear" w:color="auto" w:fill="FFC000"/>
          </w:tcPr>
          <w:p w14:paraId="447BA0EC" w14:textId="77777777" w:rsidR="00B51568" w:rsidRPr="0064106D" w:rsidRDefault="00B51568" w:rsidP="00BF676F">
            <w:pPr>
              <w:spacing w:before="120" w:after="120"/>
              <w:rPr>
                <w:rFonts w:cs="Poppins"/>
                <w:noProof/>
                <w:sz w:val="14"/>
                <w:szCs w:val="14"/>
              </w:rPr>
            </w:pPr>
            <w:r w:rsidRPr="0064106D">
              <w:rPr>
                <w:rFonts w:cs="Poppins"/>
                <w:noProof/>
                <w:sz w:val="14"/>
                <w:szCs w:val="14"/>
              </w:rPr>
              <w:t>Ligeramente por debajo</w:t>
            </w:r>
          </w:p>
        </w:tc>
      </w:tr>
      <w:tr w:rsidR="00B51568" w:rsidRPr="0064106D" w14:paraId="08D8198C"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C1DFE7" w14:textId="77777777" w:rsidR="00B51568" w:rsidRPr="0064106D" w:rsidRDefault="00B51568" w:rsidP="00BF676F">
            <w:pPr>
              <w:spacing w:before="120" w:after="120"/>
              <w:rPr>
                <w:rFonts w:cs="Poppins"/>
                <w:noProof/>
                <w:sz w:val="14"/>
                <w:szCs w:val="14"/>
              </w:rPr>
            </w:pPr>
            <w:r w:rsidRPr="0064106D">
              <w:rPr>
                <w:rFonts w:cs="Poppins"/>
                <w:noProof/>
                <w:sz w:val="14"/>
                <w:szCs w:val="14"/>
              </w:rPr>
              <w:t>HU</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B75D3D" w14:textId="77777777" w:rsidR="00B51568" w:rsidRPr="0064106D" w:rsidRDefault="00B51568" w:rsidP="00BF676F">
            <w:pPr>
              <w:spacing w:before="120" w:after="120"/>
              <w:rPr>
                <w:rFonts w:cs="Poppins"/>
                <w:noProof/>
                <w:sz w:val="14"/>
                <w:szCs w:val="14"/>
              </w:rPr>
            </w:pPr>
            <w:r w:rsidRPr="0064106D">
              <w:rPr>
                <w:rFonts w:cs="Poppins"/>
                <w:noProof/>
                <w:sz w:val="14"/>
                <w:szCs w:val="14"/>
              </w:rPr>
              <w:t>13%</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6480A91A" w14:textId="77777777" w:rsidR="00B51568" w:rsidRPr="0064106D" w:rsidRDefault="00B51568" w:rsidP="00BF676F">
            <w:pPr>
              <w:spacing w:before="120" w:after="120"/>
              <w:rPr>
                <w:rFonts w:cs="Poppins"/>
                <w:noProof/>
                <w:sz w:val="14"/>
                <w:szCs w:val="14"/>
              </w:rPr>
            </w:pPr>
            <w:r w:rsidRPr="0064106D">
              <w:rPr>
                <w:rFonts w:cs="Poppins"/>
                <w:noProof/>
                <w:sz w:val="14"/>
                <w:szCs w:val="14"/>
              </w:rPr>
              <w:t>14.1%</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6E43046" w14:textId="77777777" w:rsidR="00B51568" w:rsidRPr="0064106D" w:rsidRDefault="00B51568" w:rsidP="00BF676F">
            <w:pPr>
              <w:spacing w:before="120" w:after="120"/>
              <w:rPr>
                <w:rFonts w:cs="Poppins"/>
                <w:noProof/>
                <w:sz w:val="14"/>
                <w:szCs w:val="14"/>
              </w:rPr>
            </w:pPr>
            <w:r w:rsidRPr="0064106D">
              <w:rPr>
                <w:rFonts w:cs="Poppins"/>
                <w:noProof/>
                <w:sz w:val="14"/>
                <w:szCs w:val="14"/>
              </w:rPr>
              <w:t>29%</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B1CC17F" w14:textId="77777777" w:rsidR="00B51568" w:rsidRPr="0064106D" w:rsidRDefault="00B51568" w:rsidP="00BF676F">
            <w:pPr>
              <w:spacing w:before="120" w:after="120"/>
              <w:rPr>
                <w:rFonts w:cs="Poppins"/>
                <w:noProof/>
                <w:sz w:val="14"/>
                <w:szCs w:val="14"/>
              </w:rPr>
            </w:pPr>
            <w:r w:rsidRPr="0064106D">
              <w:rPr>
                <w:rFonts w:cs="Poppins"/>
                <w:noProof/>
                <w:sz w:val="14"/>
                <w:szCs w:val="14"/>
              </w:rPr>
              <w:t>34%</w:t>
            </w:r>
          </w:p>
        </w:tc>
        <w:tc>
          <w:tcPr>
            <w:tcW w:w="2835" w:type="dxa"/>
            <w:tcBorders>
              <w:top w:val="nil"/>
              <w:left w:val="single" w:sz="4" w:space="0" w:color="auto"/>
              <w:bottom w:val="single" w:sz="8" w:space="0" w:color="auto"/>
              <w:right w:val="single" w:sz="8" w:space="0" w:color="auto"/>
            </w:tcBorders>
            <w:shd w:val="clear" w:color="auto" w:fill="FF0000"/>
          </w:tcPr>
          <w:p w14:paraId="49381DB2"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7426C5AE"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58C834" w14:textId="77777777" w:rsidR="00B51568" w:rsidRPr="0064106D" w:rsidRDefault="00B51568" w:rsidP="00BF676F">
            <w:pPr>
              <w:spacing w:before="120" w:after="120"/>
              <w:rPr>
                <w:rFonts w:cs="Poppins"/>
                <w:noProof/>
                <w:sz w:val="14"/>
                <w:szCs w:val="14"/>
              </w:rPr>
            </w:pPr>
            <w:r w:rsidRPr="0064106D">
              <w:rPr>
                <w:rFonts w:cs="Poppins"/>
                <w:noProof/>
                <w:sz w:val="14"/>
                <w:szCs w:val="14"/>
              </w:rPr>
              <w:t>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A056383" w14:textId="77777777" w:rsidR="00B51568" w:rsidRPr="0064106D" w:rsidRDefault="00B51568" w:rsidP="00BF676F">
            <w:pPr>
              <w:spacing w:before="120" w:after="120"/>
              <w:rPr>
                <w:rFonts w:cs="Poppins"/>
                <w:noProof/>
                <w:sz w:val="14"/>
                <w:szCs w:val="14"/>
              </w:rPr>
            </w:pPr>
            <w:r w:rsidRPr="0064106D">
              <w:rPr>
                <w:rFonts w:cs="Poppins"/>
                <w:noProof/>
                <w:sz w:val="14"/>
                <w:szCs w:val="14"/>
              </w:rPr>
              <w:t>16%</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5BC74C4A" w14:textId="77777777" w:rsidR="00B51568" w:rsidRPr="0064106D" w:rsidRDefault="00B51568" w:rsidP="00BF676F">
            <w:pPr>
              <w:spacing w:before="120" w:after="120"/>
              <w:rPr>
                <w:rFonts w:cs="Poppins"/>
                <w:noProof/>
                <w:sz w:val="14"/>
                <w:szCs w:val="14"/>
              </w:rPr>
            </w:pPr>
            <w:r w:rsidRPr="0064106D">
              <w:rPr>
                <w:rFonts w:cs="Poppins"/>
                <w:noProof/>
                <w:sz w:val="14"/>
                <w:szCs w:val="14"/>
              </w:rPr>
              <w:t>12.5%</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7C69977" w14:textId="77777777" w:rsidR="00B51568" w:rsidRPr="0064106D" w:rsidRDefault="00B51568" w:rsidP="00BF676F">
            <w:pPr>
              <w:spacing w:before="120" w:after="120"/>
              <w:rPr>
                <w:rFonts w:cs="Poppins"/>
                <w:noProof/>
                <w:sz w:val="14"/>
                <w:szCs w:val="14"/>
              </w:rPr>
            </w:pPr>
            <w:r w:rsidRPr="0064106D">
              <w:rPr>
                <w:rFonts w:cs="Poppins"/>
                <w:noProof/>
                <w:sz w:val="14"/>
                <w:szCs w:val="14"/>
              </w:rPr>
              <w:t>31.4%-34.1%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8FA10E4" w14:textId="77777777" w:rsidR="00B51568" w:rsidRPr="0064106D" w:rsidRDefault="00B51568" w:rsidP="00BF676F">
            <w:pPr>
              <w:spacing w:before="120" w:after="120"/>
              <w:rPr>
                <w:rFonts w:cs="Poppins"/>
                <w:noProof/>
                <w:sz w:val="14"/>
                <w:szCs w:val="14"/>
              </w:rPr>
            </w:pPr>
            <w:r w:rsidRPr="0064106D">
              <w:rPr>
                <w:rFonts w:cs="Poppins"/>
                <w:noProof/>
                <w:sz w:val="14"/>
                <w:szCs w:val="14"/>
              </w:rPr>
              <w:t>43%</w:t>
            </w:r>
          </w:p>
        </w:tc>
        <w:tc>
          <w:tcPr>
            <w:tcW w:w="2835" w:type="dxa"/>
            <w:tcBorders>
              <w:top w:val="nil"/>
              <w:left w:val="single" w:sz="4" w:space="0" w:color="auto"/>
              <w:bottom w:val="single" w:sz="8" w:space="0" w:color="auto"/>
              <w:right w:val="single" w:sz="8" w:space="0" w:color="auto"/>
            </w:tcBorders>
            <w:shd w:val="clear" w:color="auto" w:fill="FF0000"/>
          </w:tcPr>
          <w:p w14:paraId="5C66F08A"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21FDFBAB"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7AA577" w14:textId="77777777" w:rsidR="00B51568" w:rsidRPr="0064106D" w:rsidRDefault="00B51568" w:rsidP="00BF676F">
            <w:pPr>
              <w:spacing w:before="120" w:after="120"/>
              <w:rPr>
                <w:rFonts w:cs="Poppins"/>
                <w:noProof/>
                <w:sz w:val="14"/>
                <w:szCs w:val="14"/>
              </w:rPr>
            </w:pPr>
            <w:r w:rsidRPr="0064106D">
              <w:rPr>
                <w:rFonts w:cs="Poppins"/>
                <w:noProof/>
                <w:sz w:val="14"/>
                <w:szCs w:val="14"/>
              </w:rPr>
              <w:t>IT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22A8672" w14:textId="77777777" w:rsidR="00B51568" w:rsidRPr="0064106D" w:rsidRDefault="00B51568" w:rsidP="00BF676F">
            <w:pPr>
              <w:spacing w:before="120" w:after="120"/>
              <w:rPr>
                <w:rFonts w:cs="Poppins"/>
                <w:noProof/>
                <w:sz w:val="14"/>
                <w:szCs w:val="14"/>
              </w:rPr>
            </w:pPr>
            <w:r w:rsidRPr="0064106D">
              <w:rPr>
                <w:rFonts w:cs="Poppins"/>
                <w:noProof/>
                <w:sz w:val="14"/>
                <w:szCs w:val="14"/>
              </w:rPr>
              <w:t>17%</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04749072" w14:textId="77777777" w:rsidR="00B51568" w:rsidRPr="0064106D" w:rsidRDefault="00B51568" w:rsidP="00BF676F">
            <w:pPr>
              <w:spacing w:before="120" w:after="120"/>
              <w:rPr>
                <w:rFonts w:cs="Poppins"/>
                <w:noProof/>
                <w:sz w:val="14"/>
                <w:szCs w:val="14"/>
              </w:rPr>
            </w:pPr>
            <w:r w:rsidRPr="0064106D">
              <w:rPr>
                <w:rFonts w:cs="Poppins"/>
                <w:noProof/>
                <w:sz w:val="14"/>
                <w:szCs w:val="14"/>
              </w:rPr>
              <w:t>19.0%</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6D60E67" w14:textId="77777777" w:rsidR="00B51568" w:rsidRPr="0064106D" w:rsidRDefault="00B51568" w:rsidP="00BF676F">
            <w:pPr>
              <w:spacing w:before="120" w:after="120"/>
              <w:rPr>
                <w:rFonts w:cs="Poppins"/>
                <w:noProof/>
                <w:sz w:val="14"/>
                <w:szCs w:val="14"/>
              </w:rPr>
            </w:pPr>
            <w:r w:rsidRPr="0064106D">
              <w:rPr>
                <w:rFonts w:cs="Poppins"/>
                <w:noProof/>
                <w:sz w:val="14"/>
                <w:szCs w:val="14"/>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F3469B" w14:textId="77777777" w:rsidR="00B51568" w:rsidRPr="0064106D" w:rsidRDefault="00B51568" w:rsidP="00BF676F">
            <w:pPr>
              <w:spacing w:before="120" w:after="120"/>
              <w:rPr>
                <w:rFonts w:cs="Poppins"/>
                <w:noProof/>
                <w:sz w:val="14"/>
                <w:szCs w:val="14"/>
              </w:rPr>
            </w:pPr>
            <w:r w:rsidRPr="0064106D">
              <w:rPr>
                <w:rFonts w:cs="Poppins"/>
                <w:noProof/>
                <w:sz w:val="14"/>
                <w:szCs w:val="14"/>
              </w:rPr>
              <w:t>39%</w:t>
            </w:r>
          </w:p>
        </w:tc>
        <w:tc>
          <w:tcPr>
            <w:tcW w:w="2835" w:type="dxa"/>
            <w:tcBorders>
              <w:top w:val="nil"/>
              <w:left w:val="single" w:sz="4" w:space="0" w:color="auto"/>
              <w:bottom w:val="single" w:sz="8" w:space="0" w:color="auto"/>
              <w:right w:val="single" w:sz="8" w:space="0" w:color="auto"/>
            </w:tcBorders>
            <w:shd w:val="clear" w:color="auto" w:fill="C9C9C9" w:themeFill="accent3" w:themeFillTint="99"/>
          </w:tcPr>
          <w:p w14:paraId="7BE88331" w14:textId="77777777" w:rsidR="00B51568" w:rsidRPr="0064106D" w:rsidRDefault="00B51568" w:rsidP="00BF676F">
            <w:pPr>
              <w:spacing w:before="120" w:after="120"/>
              <w:rPr>
                <w:rFonts w:cs="Poppins"/>
                <w:noProof/>
                <w:sz w:val="14"/>
                <w:szCs w:val="14"/>
              </w:rPr>
            </w:pPr>
            <w:r w:rsidRPr="0064106D">
              <w:rPr>
                <w:rFonts w:cs="Poppins"/>
                <w:noProof/>
                <w:sz w:val="14"/>
                <w:szCs w:val="14"/>
              </w:rPr>
              <w:t>Ligeramente por encima</w:t>
            </w:r>
          </w:p>
        </w:tc>
      </w:tr>
      <w:tr w:rsidR="00B51568" w:rsidRPr="0064106D" w14:paraId="375F3F7E"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AC952E" w14:textId="77777777" w:rsidR="00B51568" w:rsidRPr="0064106D" w:rsidRDefault="00B51568" w:rsidP="00BF676F">
            <w:pPr>
              <w:spacing w:before="120" w:after="120"/>
              <w:rPr>
                <w:rFonts w:cs="Poppins"/>
                <w:noProof/>
                <w:sz w:val="14"/>
                <w:szCs w:val="14"/>
              </w:rPr>
            </w:pPr>
            <w:r w:rsidRPr="0064106D">
              <w:rPr>
                <w:rFonts w:cs="Poppins"/>
                <w:noProof/>
                <w:sz w:val="14"/>
                <w:szCs w:val="14"/>
              </w:rPr>
              <w:t>LT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2E3D92F" w14:textId="77777777" w:rsidR="00B51568" w:rsidRPr="0064106D" w:rsidRDefault="00B51568" w:rsidP="00BF676F">
            <w:pPr>
              <w:spacing w:before="120" w:after="120"/>
              <w:rPr>
                <w:rFonts w:cs="Poppins"/>
                <w:noProof/>
                <w:sz w:val="14"/>
                <w:szCs w:val="14"/>
              </w:rPr>
            </w:pPr>
            <w:r w:rsidRPr="0064106D">
              <w:rPr>
                <w:rFonts w:cs="Poppins"/>
                <w:noProof/>
                <w:sz w:val="14"/>
                <w:szCs w:val="14"/>
              </w:rPr>
              <w:t>23%</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1A0FA0E4" w14:textId="77777777" w:rsidR="00B51568" w:rsidRPr="0064106D" w:rsidRDefault="00B51568" w:rsidP="00BF676F">
            <w:pPr>
              <w:spacing w:before="120" w:after="120"/>
              <w:rPr>
                <w:rFonts w:cs="Poppins"/>
                <w:noProof/>
                <w:sz w:val="14"/>
                <w:szCs w:val="14"/>
              </w:rPr>
            </w:pPr>
            <w:r w:rsidRPr="0064106D">
              <w:rPr>
                <w:rFonts w:cs="Poppins"/>
                <w:noProof/>
                <w:sz w:val="14"/>
                <w:szCs w:val="14"/>
              </w:rPr>
              <w:t>28.2%</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9C02DF" w14:textId="77777777" w:rsidR="00B51568" w:rsidRPr="0064106D" w:rsidRDefault="00B51568" w:rsidP="00BF676F">
            <w:pPr>
              <w:spacing w:before="120" w:after="120"/>
              <w:rPr>
                <w:rFonts w:cs="Poppins"/>
                <w:noProof/>
                <w:sz w:val="14"/>
                <w:szCs w:val="14"/>
              </w:rPr>
            </w:pPr>
            <w:r w:rsidRPr="0064106D">
              <w:rPr>
                <w:rFonts w:cs="Poppins"/>
                <w:noProof/>
                <w:sz w:val="14"/>
                <w:szCs w:val="14"/>
              </w:rPr>
              <w:t>55%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027201E" w14:textId="77777777" w:rsidR="00B51568" w:rsidRPr="0064106D" w:rsidRDefault="00B51568" w:rsidP="00BF676F">
            <w:pPr>
              <w:spacing w:before="120" w:after="120"/>
              <w:rPr>
                <w:rFonts w:cs="Poppins"/>
                <w:noProof/>
                <w:sz w:val="14"/>
                <w:szCs w:val="14"/>
              </w:rPr>
            </w:pPr>
            <w:r w:rsidRPr="0064106D">
              <w:rPr>
                <w:rFonts w:cs="Poppins"/>
                <w:noProof/>
                <w:sz w:val="14"/>
                <w:szCs w:val="14"/>
              </w:rPr>
              <w:t>49%</w:t>
            </w:r>
          </w:p>
        </w:tc>
        <w:tc>
          <w:tcPr>
            <w:tcW w:w="2835" w:type="dxa"/>
            <w:tcBorders>
              <w:top w:val="nil"/>
              <w:left w:val="single" w:sz="4" w:space="0" w:color="auto"/>
              <w:bottom w:val="single" w:sz="8" w:space="0" w:color="auto"/>
              <w:right w:val="single" w:sz="8" w:space="0" w:color="auto"/>
            </w:tcBorders>
            <w:shd w:val="clear" w:color="auto" w:fill="00B050"/>
          </w:tcPr>
          <w:p w14:paraId="08080973"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encima</w:t>
            </w:r>
          </w:p>
        </w:tc>
      </w:tr>
      <w:tr w:rsidR="00B51568" w:rsidRPr="0064106D" w14:paraId="512778AF"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139FE3" w14:textId="77777777" w:rsidR="00B51568" w:rsidRPr="0064106D" w:rsidRDefault="00B51568" w:rsidP="00BF676F">
            <w:pPr>
              <w:spacing w:before="120" w:after="120"/>
              <w:rPr>
                <w:rFonts w:cs="Poppins"/>
                <w:noProof/>
                <w:sz w:val="14"/>
                <w:szCs w:val="14"/>
              </w:rPr>
            </w:pPr>
            <w:r w:rsidRPr="0064106D">
              <w:rPr>
                <w:rFonts w:cs="Poppins"/>
                <w:noProof/>
                <w:sz w:val="14"/>
                <w:szCs w:val="14"/>
              </w:rPr>
              <w:t>LU</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7E99C81" w14:textId="77777777" w:rsidR="00B51568" w:rsidRPr="0064106D" w:rsidRDefault="00B51568" w:rsidP="00BF676F">
            <w:pPr>
              <w:spacing w:before="120" w:after="120"/>
              <w:rPr>
                <w:rFonts w:cs="Poppins"/>
                <w:noProof/>
                <w:sz w:val="14"/>
                <w:szCs w:val="14"/>
              </w:rPr>
            </w:pPr>
            <w:r w:rsidRPr="0064106D">
              <w:rPr>
                <w:rFonts w:cs="Poppins"/>
                <w:noProof/>
                <w:sz w:val="14"/>
                <w:szCs w:val="14"/>
              </w:rPr>
              <w:t>11%</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58260749" w14:textId="77777777" w:rsidR="00B51568" w:rsidRPr="0064106D" w:rsidRDefault="00B51568" w:rsidP="00BF676F">
            <w:pPr>
              <w:spacing w:before="120" w:after="120"/>
              <w:rPr>
                <w:rFonts w:cs="Poppins"/>
                <w:noProof/>
                <w:sz w:val="14"/>
                <w:szCs w:val="14"/>
              </w:rPr>
            </w:pPr>
            <w:r w:rsidRPr="0064106D">
              <w:rPr>
                <w:rFonts w:cs="Poppins"/>
                <w:noProof/>
                <w:sz w:val="14"/>
                <w:szCs w:val="14"/>
              </w:rPr>
              <w:t>11.7%</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5F25043" w14:textId="77777777" w:rsidR="00B51568" w:rsidRPr="0064106D" w:rsidRDefault="00B51568" w:rsidP="00BF676F">
            <w:pPr>
              <w:spacing w:before="120" w:after="120"/>
              <w:rPr>
                <w:rFonts w:cs="Poppins"/>
                <w:noProof/>
                <w:sz w:val="14"/>
                <w:szCs w:val="14"/>
              </w:rPr>
            </w:pPr>
            <w:r w:rsidRPr="0064106D">
              <w:rPr>
                <w:rFonts w:cs="Poppins"/>
                <w:noProof/>
                <w:sz w:val="14"/>
                <w:szCs w:val="14"/>
              </w:rPr>
              <w:t>37%</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BFE04E2" w14:textId="77777777" w:rsidR="00B51568" w:rsidRPr="0064106D" w:rsidRDefault="00B51568" w:rsidP="00BF676F">
            <w:pPr>
              <w:spacing w:before="120" w:after="120"/>
              <w:rPr>
                <w:rFonts w:cs="Poppins"/>
                <w:noProof/>
                <w:sz w:val="14"/>
                <w:szCs w:val="14"/>
              </w:rPr>
            </w:pPr>
            <w:r w:rsidRPr="0064106D">
              <w:rPr>
                <w:rFonts w:cs="Poppins"/>
                <w:noProof/>
                <w:sz w:val="14"/>
                <w:szCs w:val="14"/>
              </w:rPr>
              <w:t>37%</w:t>
            </w:r>
          </w:p>
        </w:tc>
        <w:tc>
          <w:tcPr>
            <w:tcW w:w="2835" w:type="dxa"/>
            <w:tcBorders>
              <w:top w:val="nil"/>
              <w:left w:val="single" w:sz="4" w:space="0" w:color="auto"/>
              <w:bottom w:val="single" w:sz="8" w:space="0" w:color="auto"/>
              <w:right w:val="single" w:sz="8" w:space="0" w:color="auto"/>
            </w:tcBorders>
          </w:tcPr>
          <w:p w14:paraId="5B0E5D8B" w14:textId="77777777" w:rsidR="00B51568" w:rsidRPr="0064106D" w:rsidRDefault="00B51568" w:rsidP="00BF676F">
            <w:pPr>
              <w:spacing w:before="120" w:after="120"/>
              <w:rPr>
                <w:rFonts w:cs="Poppins"/>
                <w:noProof/>
                <w:sz w:val="14"/>
                <w:szCs w:val="14"/>
              </w:rPr>
            </w:pPr>
            <w:r w:rsidRPr="0064106D">
              <w:rPr>
                <w:rFonts w:cs="Poppins"/>
                <w:noProof/>
                <w:sz w:val="14"/>
                <w:szCs w:val="14"/>
              </w:rPr>
              <w:t>En Linea</w:t>
            </w:r>
          </w:p>
        </w:tc>
      </w:tr>
      <w:tr w:rsidR="00B51568" w:rsidRPr="0064106D" w14:paraId="6EBB8171"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4DAD95" w14:textId="77777777" w:rsidR="00B51568" w:rsidRPr="0064106D" w:rsidRDefault="00B51568" w:rsidP="00BF676F">
            <w:pPr>
              <w:spacing w:before="120" w:after="120"/>
              <w:rPr>
                <w:rFonts w:cs="Poppins"/>
                <w:noProof/>
                <w:sz w:val="14"/>
                <w:szCs w:val="14"/>
              </w:rPr>
            </w:pPr>
            <w:r w:rsidRPr="0064106D">
              <w:rPr>
                <w:rFonts w:cs="Poppins"/>
                <w:noProof/>
                <w:sz w:val="14"/>
                <w:szCs w:val="14"/>
              </w:rPr>
              <w:t>LV</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092F6E" w14:textId="77777777" w:rsidR="00B51568" w:rsidRPr="0064106D" w:rsidRDefault="00B51568" w:rsidP="00BF676F">
            <w:pPr>
              <w:spacing w:before="120" w:after="120"/>
              <w:rPr>
                <w:rFonts w:cs="Poppins"/>
                <w:noProof/>
                <w:sz w:val="14"/>
                <w:szCs w:val="14"/>
              </w:rPr>
            </w:pPr>
            <w:r w:rsidRPr="0064106D">
              <w:rPr>
                <w:rFonts w:cs="Poppins"/>
                <w:noProof/>
                <w:sz w:val="14"/>
                <w:szCs w:val="14"/>
              </w:rPr>
              <w:t>40%</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606D6401" w14:textId="77777777" w:rsidR="00B51568" w:rsidRPr="0064106D" w:rsidRDefault="00B51568" w:rsidP="00BF676F">
            <w:pPr>
              <w:spacing w:before="120" w:after="120"/>
              <w:rPr>
                <w:rFonts w:cs="Poppins"/>
                <w:noProof/>
                <w:sz w:val="14"/>
                <w:szCs w:val="14"/>
              </w:rPr>
            </w:pPr>
            <w:r w:rsidRPr="0064106D">
              <w:rPr>
                <w:rFonts w:cs="Poppins"/>
                <w:noProof/>
                <w:sz w:val="14"/>
                <w:szCs w:val="14"/>
              </w:rPr>
              <w:t>42.1%</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A25A6B" w14:textId="77777777" w:rsidR="00B51568" w:rsidRPr="0064106D" w:rsidRDefault="00B51568" w:rsidP="00BF676F">
            <w:pPr>
              <w:spacing w:before="120" w:after="120"/>
              <w:rPr>
                <w:rFonts w:cs="Poppins"/>
                <w:noProof/>
                <w:sz w:val="14"/>
                <w:szCs w:val="14"/>
              </w:rPr>
            </w:pPr>
            <w:r w:rsidRPr="0064106D">
              <w:rPr>
                <w:rFonts w:cs="Poppins"/>
                <w:noProof/>
                <w:sz w:val="14"/>
                <w:szCs w:val="14"/>
              </w:rPr>
              <w:t>57%</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73B5D3" w14:textId="77777777" w:rsidR="00B51568" w:rsidRPr="0064106D" w:rsidRDefault="00B51568" w:rsidP="00BF676F">
            <w:pPr>
              <w:spacing w:before="120" w:after="120"/>
              <w:rPr>
                <w:rFonts w:cs="Poppins"/>
                <w:noProof/>
                <w:sz w:val="14"/>
                <w:szCs w:val="14"/>
              </w:rPr>
            </w:pPr>
            <w:r w:rsidRPr="0064106D">
              <w:rPr>
                <w:rFonts w:cs="Poppins"/>
                <w:noProof/>
                <w:sz w:val="14"/>
                <w:szCs w:val="14"/>
              </w:rPr>
              <w:t>61%</w:t>
            </w:r>
          </w:p>
        </w:tc>
        <w:tc>
          <w:tcPr>
            <w:tcW w:w="2835" w:type="dxa"/>
            <w:tcBorders>
              <w:top w:val="nil"/>
              <w:left w:val="single" w:sz="4" w:space="0" w:color="auto"/>
              <w:bottom w:val="single" w:sz="8" w:space="0" w:color="auto"/>
              <w:right w:val="single" w:sz="8" w:space="0" w:color="auto"/>
            </w:tcBorders>
            <w:shd w:val="clear" w:color="auto" w:fill="FF0000"/>
          </w:tcPr>
          <w:p w14:paraId="5C1362A0"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0BC0DB41"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61CCC7" w14:textId="77777777" w:rsidR="00B51568" w:rsidRPr="0064106D" w:rsidRDefault="00B51568" w:rsidP="00BF676F">
            <w:pPr>
              <w:spacing w:before="120" w:after="120"/>
              <w:rPr>
                <w:rFonts w:cs="Poppins"/>
                <w:noProof/>
                <w:sz w:val="14"/>
                <w:szCs w:val="14"/>
              </w:rPr>
            </w:pPr>
            <w:r w:rsidRPr="0064106D">
              <w:rPr>
                <w:rFonts w:cs="Poppins"/>
                <w:noProof/>
                <w:sz w:val="14"/>
                <w:szCs w:val="14"/>
              </w:rPr>
              <w:t>MT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F9CA89" w14:textId="77777777" w:rsidR="00B51568" w:rsidRPr="0064106D" w:rsidRDefault="00B51568" w:rsidP="00BF676F">
            <w:pPr>
              <w:spacing w:before="120" w:after="120"/>
              <w:rPr>
                <w:rFonts w:cs="Poppins"/>
                <w:noProof/>
                <w:sz w:val="14"/>
                <w:szCs w:val="14"/>
              </w:rPr>
            </w:pPr>
            <w:r w:rsidRPr="0064106D">
              <w:rPr>
                <w:rFonts w:cs="Poppins"/>
                <w:noProof/>
                <w:sz w:val="14"/>
                <w:szCs w:val="14"/>
              </w:rPr>
              <w:t>10%</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7DDB8DE2" w14:textId="77777777" w:rsidR="00B51568" w:rsidRPr="0064106D" w:rsidRDefault="00B51568" w:rsidP="00BF676F">
            <w:pPr>
              <w:spacing w:before="120" w:after="120"/>
              <w:rPr>
                <w:rFonts w:cs="Poppins"/>
                <w:noProof/>
                <w:sz w:val="14"/>
                <w:szCs w:val="14"/>
              </w:rPr>
            </w:pPr>
            <w:r w:rsidRPr="0064106D">
              <w:rPr>
                <w:rFonts w:cs="Poppins"/>
                <w:noProof/>
                <w:sz w:val="14"/>
                <w:szCs w:val="14"/>
              </w:rPr>
              <w:t>12.2%</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ADF0611" w14:textId="77777777" w:rsidR="00B51568" w:rsidRPr="0064106D" w:rsidRDefault="00B51568" w:rsidP="00BF676F">
            <w:pPr>
              <w:spacing w:before="120" w:after="120"/>
              <w:rPr>
                <w:rFonts w:cs="Poppins"/>
                <w:noProof/>
                <w:sz w:val="14"/>
                <w:szCs w:val="14"/>
              </w:rPr>
            </w:pPr>
            <w:r w:rsidRPr="0064106D">
              <w:rPr>
                <w:rFonts w:cs="Poppins"/>
                <w:noProof/>
                <w:sz w:val="14"/>
                <w:szCs w:val="14"/>
              </w:rPr>
              <w:t>11.5%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8F8BAD5" w14:textId="77777777" w:rsidR="00B51568" w:rsidRPr="0064106D" w:rsidRDefault="00B51568" w:rsidP="00BF676F">
            <w:pPr>
              <w:spacing w:before="120" w:after="120"/>
              <w:rPr>
                <w:rFonts w:cs="Poppins"/>
                <w:noProof/>
                <w:sz w:val="14"/>
                <w:szCs w:val="14"/>
              </w:rPr>
            </w:pPr>
            <w:r w:rsidRPr="0064106D">
              <w:rPr>
                <w:rFonts w:cs="Poppins"/>
                <w:noProof/>
                <w:sz w:val="14"/>
                <w:szCs w:val="14"/>
              </w:rPr>
              <w:t>28%</w:t>
            </w:r>
          </w:p>
        </w:tc>
        <w:tc>
          <w:tcPr>
            <w:tcW w:w="2835" w:type="dxa"/>
            <w:tcBorders>
              <w:top w:val="nil"/>
              <w:left w:val="single" w:sz="4" w:space="0" w:color="auto"/>
              <w:bottom w:val="single" w:sz="8" w:space="0" w:color="auto"/>
              <w:right w:val="single" w:sz="8" w:space="0" w:color="auto"/>
            </w:tcBorders>
            <w:shd w:val="clear" w:color="auto" w:fill="FF0000"/>
          </w:tcPr>
          <w:p w14:paraId="49242C35"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0A458DB7"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A7F29B" w14:textId="77777777" w:rsidR="00B51568" w:rsidRPr="0064106D" w:rsidRDefault="00B51568" w:rsidP="00BF676F">
            <w:pPr>
              <w:spacing w:before="120" w:after="120"/>
              <w:rPr>
                <w:rFonts w:cs="Poppins"/>
                <w:noProof/>
                <w:sz w:val="14"/>
                <w:szCs w:val="14"/>
              </w:rPr>
            </w:pPr>
            <w:r w:rsidRPr="0064106D">
              <w:rPr>
                <w:rFonts w:cs="Poppins"/>
                <w:noProof/>
                <w:sz w:val="14"/>
                <w:szCs w:val="14"/>
              </w:rPr>
              <w:t>NL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612DB4E" w14:textId="77777777" w:rsidR="00B51568" w:rsidRPr="0064106D" w:rsidRDefault="00B51568" w:rsidP="00BF676F">
            <w:pPr>
              <w:spacing w:before="120" w:after="120"/>
              <w:rPr>
                <w:rFonts w:cs="Poppins"/>
                <w:noProof/>
                <w:sz w:val="14"/>
                <w:szCs w:val="14"/>
              </w:rPr>
            </w:pPr>
            <w:r w:rsidRPr="0064106D">
              <w:rPr>
                <w:rFonts w:cs="Poppins"/>
                <w:noProof/>
                <w:sz w:val="14"/>
                <w:szCs w:val="14"/>
              </w:rPr>
              <w:t>14%</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5C74259D" w14:textId="77777777" w:rsidR="00B51568" w:rsidRPr="0064106D" w:rsidRDefault="00B51568" w:rsidP="00BF676F">
            <w:pPr>
              <w:spacing w:before="120" w:after="120"/>
              <w:rPr>
                <w:rFonts w:cs="Poppins"/>
                <w:noProof/>
                <w:sz w:val="14"/>
                <w:szCs w:val="14"/>
              </w:rPr>
            </w:pPr>
            <w:r w:rsidRPr="0064106D">
              <w:rPr>
                <w:rFonts w:cs="Poppins"/>
                <w:noProof/>
                <w:sz w:val="14"/>
                <w:szCs w:val="14"/>
              </w:rPr>
              <w:t>13.0%</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ED3DB03" w14:textId="77777777" w:rsidR="00B51568" w:rsidRPr="0064106D" w:rsidRDefault="00B51568" w:rsidP="00BF676F">
            <w:pPr>
              <w:spacing w:before="120" w:after="120"/>
              <w:rPr>
                <w:rFonts w:cs="Poppins"/>
                <w:noProof/>
                <w:sz w:val="14"/>
                <w:szCs w:val="14"/>
              </w:rPr>
            </w:pPr>
            <w:r w:rsidRPr="0064106D">
              <w:rPr>
                <w:rFonts w:cs="Poppins"/>
                <w:noProof/>
                <w:sz w:val="14"/>
                <w:szCs w:val="14"/>
              </w:rPr>
              <w:t>27%</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0860045" w14:textId="77777777" w:rsidR="00B51568" w:rsidRPr="0064106D" w:rsidRDefault="00B51568" w:rsidP="00BF676F">
            <w:pPr>
              <w:spacing w:before="120" w:after="120"/>
              <w:rPr>
                <w:rFonts w:cs="Poppins"/>
                <w:noProof/>
                <w:sz w:val="14"/>
                <w:szCs w:val="14"/>
              </w:rPr>
            </w:pPr>
            <w:r w:rsidRPr="0064106D">
              <w:rPr>
                <w:rFonts w:cs="Poppins"/>
                <w:noProof/>
                <w:sz w:val="14"/>
                <w:szCs w:val="14"/>
              </w:rPr>
              <w:t>39%</w:t>
            </w:r>
          </w:p>
        </w:tc>
        <w:tc>
          <w:tcPr>
            <w:tcW w:w="2835" w:type="dxa"/>
            <w:tcBorders>
              <w:top w:val="nil"/>
              <w:left w:val="single" w:sz="4" w:space="0" w:color="auto"/>
              <w:bottom w:val="single" w:sz="8" w:space="0" w:color="auto"/>
              <w:right w:val="single" w:sz="8" w:space="0" w:color="auto"/>
            </w:tcBorders>
            <w:shd w:val="clear" w:color="auto" w:fill="FF0000"/>
          </w:tcPr>
          <w:p w14:paraId="3FC52C69"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4D346A76"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5A6998" w14:textId="77777777" w:rsidR="00B51568" w:rsidRPr="0064106D" w:rsidRDefault="00B51568" w:rsidP="00BF676F">
            <w:pPr>
              <w:spacing w:before="120" w:after="120"/>
              <w:rPr>
                <w:rFonts w:cs="Poppins"/>
                <w:noProof/>
                <w:sz w:val="14"/>
                <w:szCs w:val="14"/>
              </w:rPr>
            </w:pPr>
            <w:r w:rsidRPr="0064106D">
              <w:rPr>
                <w:rFonts w:cs="Poppins"/>
                <w:noProof/>
                <w:sz w:val="14"/>
                <w:szCs w:val="14"/>
              </w:rPr>
              <w:t>PL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C91A3F8" w14:textId="77777777" w:rsidR="00B51568" w:rsidRPr="0064106D" w:rsidRDefault="00B51568" w:rsidP="00BF676F">
            <w:pPr>
              <w:spacing w:before="120" w:after="120"/>
              <w:rPr>
                <w:rFonts w:cs="Poppins"/>
                <w:noProof/>
                <w:sz w:val="14"/>
                <w:szCs w:val="14"/>
              </w:rPr>
            </w:pPr>
            <w:r w:rsidRPr="0064106D">
              <w:rPr>
                <w:rFonts w:cs="Poppins"/>
                <w:noProof/>
                <w:sz w:val="14"/>
                <w:szCs w:val="14"/>
              </w:rPr>
              <w:t>15%</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4A4C19F7" w14:textId="77777777" w:rsidR="00B51568" w:rsidRPr="0064106D" w:rsidRDefault="00B51568" w:rsidP="00BF676F">
            <w:pPr>
              <w:spacing w:before="120" w:after="120"/>
              <w:rPr>
                <w:rFonts w:cs="Poppins"/>
                <w:noProof/>
                <w:sz w:val="14"/>
                <w:szCs w:val="14"/>
              </w:rPr>
            </w:pPr>
            <w:r w:rsidRPr="0064106D">
              <w:rPr>
                <w:rFonts w:cs="Poppins"/>
                <w:noProof/>
                <w:sz w:val="14"/>
                <w:szCs w:val="14"/>
              </w:rPr>
              <w:t>15.6%</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8CED66" w14:textId="77777777" w:rsidR="00B51568" w:rsidRPr="0064106D" w:rsidRDefault="00B51568" w:rsidP="00BF676F">
            <w:pPr>
              <w:spacing w:before="120" w:after="120"/>
              <w:rPr>
                <w:rFonts w:cs="Poppins"/>
                <w:noProof/>
                <w:sz w:val="14"/>
                <w:szCs w:val="14"/>
              </w:rPr>
            </w:pPr>
            <w:r w:rsidRPr="0064106D">
              <w:rPr>
                <w:rFonts w:cs="Poppins"/>
                <w:noProof/>
                <w:sz w:val="14"/>
                <w:szCs w:val="14"/>
              </w:rPr>
              <w:t>23%-31%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D7C45A3" w14:textId="77777777" w:rsidR="00B51568" w:rsidRPr="0064106D" w:rsidRDefault="00B51568" w:rsidP="00BF676F">
            <w:pPr>
              <w:spacing w:before="120" w:after="120"/>
              <w:rPr>
                <w:rFonts w:cs="Poppins"/>
                <w:noProof/>
                <w:sz w:val="14"/>
                <w:szCs w:val="14"/>
              </w:rPr>
            </w:pPr>
            <w:r w:rsidRPr="0064106D">
              <w:rPr>
                <w:rFonts w:cs="Poppins"/>
                <w:noProof/>
                <w:sz w:val="14"/>
                <w:szCs w:val="14"/>
              </w:rPr>
              <w:t>32%</w:t>
            </w:r>
          </w:p>
        </w:tc>
        <w:tc>
          <w:tcPr>
            <w:tcW w:w="2835" w:type="dxa"/>
            <w:tcBorders>
              <w:top w:val="nil"/>
              <w:left w:val="single" w:sz="4" w:space="0" w:color="auto"/>
              <w:bottom w:val="single" w:sz="8" w:space="0" w:color="auto"/>
              <w:right w:val="single" w:sz="8" w:space="0" w:color="auto"/>
            </w:tcBorders>
            <w:shd w:val="clear" w:color="auto" w:fill="FF0000"/>
          </w:tcPr>
          <w:p w14:paraId="7388410C"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40E2D030"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E50981" w14:textId="77777777" w:rsidR="00B51568" w:rsidRPr="0064106D" w:rsidRDefault="00B51568" w:rsidP="00BF676F">
            <w:pPr>
              <w:spacing w:before="120" w:after="120"/>
              <w:rPr>
                <w:rFonts w:cs="Poppins"/>
                <w:noProof/>
                <w:sz w:val="14"/>
                <w:szCs w:val="14"/>
              </w:rPr>
            </w:pPr>
            <w:r w:rsidRPr="0064106D">
              <w:rPr>
                <w:rFonts w:cs="Poppins"/>
                <w:noProof/>
                <w:sz w:val="14"/>
                <w:szCs w:val="14"/>
              </w:rPr>
              <w:t>PT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63AA957E" w14:textId="77777777" w:rsidR="00B51568" w:rsidRPr="0064106D" w:rsidRDefault="00B51568" w:rsidP="00BF676F">
            <w:pPr>
              <w:spacing w:before="120" w:after="120"/>
              <w:rPr>
                <w:rFonts w:cs="Poppins"/>
                <w:noProof/>
                <w:sz w:val="14"/>
                <w:szCs w:val="14"/>
              </w:rPr>
            </w:pPr>
            <w:r w:rsidRPr="0064106D">
              <w:rPr>
                <w:rFonts w:cs="Poppins"/>
                <w:noProof/>
                <w:sz w:val="14"/>
                <w:szCs w:val="14"/>
              </w:rPr>
              <w:t>31%</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2235F7E3" w14:textId="77777777" w:rsidR="00B51568" w:rsidRPr="0064106D" w:rsidRDefault="00B51568" w:rsidP="00BF676F">
            <w:pPr>
              <w:spacing w:before="120" w:after="120"/>
              <w:rPr>
                <w:rFonts w:cs="Poppins"/>
                <w:noProof/>
                <w:sz w:val="14"/>
                <w:szCs w:val="14"/>
              </w:rPr>
            </w:pPr>
            <w:r w:rsidRPr="0064106D">
              <w:rPr>
                <w:rFonts w:cs="Poppins"/>
                <w:noProof/>
                <w:sz w:val="14"/>
                <w:szCs w:val="14"/>
              </w:rPr>
              <w:t>34.0%</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B7395A3" w14:textId="77777777" w:rsidR="00B51568" w:rsidRPr="0064106D" w:rsidRDefault="00B51568" w:rsidP="00BF676F">
            <w:pPr>
              <w:spacing w:before="120" w:after="120"/>
              <w:rPr>
                <w:rFonts w:cs="Poppins"/>
                <w:noProof/>
                <w:sz w:val="14"/>
                <w:szCs w:val="14"/>
              </w:rPr>
            </w:pPr>
            <w:r w:rsidRPr="0064106D">
              <w:rPr>
                <w:rFonts w:cs="Poppins"/>
                <w:noProof/>
                <w:sz w:val="14"/>
                <w:szCs w:val="14"/>
              </w:rPr>
              <w:t>49%</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C403D58" w14:textId="77777777" w:rsidR="00B51568" w:rsidRPr="0064106D" w:rsidRDefault="00B51568" w:rsidP="00BF676F">
            <w:pPr>
              <w:spacing w:before="120" w:after="120"/>
              <w:rPr>
                <w:rFonts w:cs="Poppins"/>
                <w:noProof/>
                <w:sz w:val="14"/>
                <w:szCs w:val="14"/>
              </w:rPr>
            </w:pPr>
            <w:r w:rsidRPr="0064106D">
              <w:rPr>
                <w:rFonts w:cs="Poppins"/>
                <w:noProof/>
                <w:sz w:val="14"/>
                <w:szCs w:val="14"/>
              </w:rPr>
              <w:t>51%</w:t>
            </w:r>
          </w:p>
        </w:tc>
        <w:tc>
          <w:tcPr>
            <w:tcW w:w="2835" w:type="dxa"/>
            <w:tcBorders>
              <w:top w:val="nil"/>
              <w:left w:val="single" w:sz="4" w:space="0" w:color="auto"/>
              <w:bottom w:val="single" w:sz="8" w:space="0" w:color="auto"/>
              <w:right w:val="single" w:sz="8" w:space="0" w:color="auto"/>
            </w:tcBorders>
            <w:shd w:val="clear" w:color="auto" w:fill="FFC000"/>
          </w:tcPr>
          <w:p w14:paraId="777E3C78" w14:textId="77777777" w:rsidR="00B51568" w:rsidRPr="0064106D" w:rsidRDefault="00B51568" w:rsidP="00BF676F">
            <w:pPr>
              <w:spacing w:before="120" w:after="120"/>
              <w:rPr>
                <w:rFonts w:cs="Poppins"/>
                <w:noProof/>
                <w:sz w:val="14"/>
                <w:szCs w:val="14"/>
              </w:rPr>
            </w:pPr>
            <w:r w:rsidRPr="0064106D">
              <w:rPr>
                <w:rFonts w:cs="Poppins"/>
                <w:noProof/>
                <w:sz w:val="14"/>
                <w:szCs w:val="14"/>
              </w:rPr>
              <w:t>Ligeramente por debajo</w:t>
            </w:r>
          </w:p>
        </w:tc>
      </w:tr>
      <w:tr w:rsidR="00B51568" w:rsidRPr="0064106D" w14:paraId="743835F3"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59A05F" w14:textId="77777777" w:rsidR="00B51568" w:rsidRPr="0064106D" w:rsidRDefault="00B51568" w:rsidP="00BF676F">
            <w:pPr>
              <w:spacing w:before="120" w:after="120"/>
              <w:rPr>
                <w:rFonts w:cs="Poppins"/>
                <w:noProof/>
                <w:sz w:val="14"/>
                <w:szCs w:val="14"/>
              </w:rPr>
            </w:pPr>
            <w:r w:rsidRPr="0064106D">
              <w:rPr>
                <w:rFonts w:cs="Poppins"/>
                <w:noProof/>
                <w:sz w:val="14"/>
                <w:szCs w:val="14"/>
              </w:rPr>
              <w:t>RO</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6A3BAD" w14:textId="77777777" w:rsidR="00B51568" w:rsidRPr="0064106D" w:rsidRDefault="00B51568" w:rsidP="00BF676F">
            <w:pPr>
              <w:spacing w:before="120" w:after="120"/>
              <w:rPr>
                <w:rFonts w:cs="Poppins"/>
                <w:noProof/>
                <w:sz w:val="14"/>
                <w:szCs w:val="14"/>
              </w:rPr>
            </w:pPr>
            <w:r w:rsidRPr="0064106D">
              <w:rPr>
                <w:rFonts w:cs="Poppins"/>
                <w:noProof/>
                <w:sz w:val="14"/>
                <w:szCs w:val="14"/>
              </w:rPr>
              <w:t>24%</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6380032F" w14:textId="77777777" w:rsidR="00B51568" w:rsidRPr="0064106D" w:rsidRDefault="00B51568" w:rsidP="00BF676F">
            <w:pPr>
              <w:spacing w:before="120" w:after="120"/>
              <w:rPr>
                <w:rFonts w:cs="Poppins"/>
                <w:noProof/>
                <w:sz w:val="14"/>
                <w:szCs w:val="14"/>
              </w:rPr>
            </w:pPr>
            <w:r w:rsidRPr="0064106D">
              <w:rPr>
                <w:rFonts w:cs="Poppins"/>
                <w:noProof/>
                <w:sz w:val="14"/>
                <w:szCs w:val="14"/>
              </w:rPr>
              <w:t>23.6%</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0709C7" w14:textId="77777777" w:rsidR="00B51568" w:rsidRPr="0064106D" w:rsidRDefault="00B51568" w:rsidP="00BF676F">
            <w:pPr>
              <w:spacing w:before="120" w:after="120"/>
              <w:rPr>
                <w:rFonts w:cs="Poppins"/>
                <w:noProof/>
                <w:sz w:val="14"/>
                <w:szCs w:val="14"/>
              </w:rPr>
            </w:pPr>
            <w:r w:rsidRPr="0064106D">
              <w:rPr>
                <w:rFonts w:cs="Poppins"/>
                <w:noProof/>
                <w:sz w:val="14"/>
                <w:szCs w:val="14"/>
              </w:rPr>
              <w:t>34%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60EE538" w14:textId="77777777" w:rsidR="00B51568" w:rsidRPr="0064106D" w:rsidRDefault="00B51568" w:rsidP="00BF676F">
            <w:pPr>
              <w:spacing w:before="120" w:after="120"/>
              <w:rPr>
                <w:rFonts w:cs="Poppins"/>
                <w:noProof/>
                <w:sz w:val="14"/>
                <w:szCs w:val="14"/>
              </w:rPr>
            </w:pPr>
            <w:r w:rsidRPr="0064106D">
              <w:rPr>
                <w:rFonts w:cs="Poppins"/>
                <w:noProof/>
                <w:sz w:val="14"/>
                <w:szCs w:val="14"/>
              </w:rPr>
              <w:t>41%</w:t>
            </w:r>
          </w:p>
        </w:tc>
        <w:tc>
          <w:tcPr>
            <w:tcW w:w="2835" w:type="dxa"/>
            <w:tcBorders>
              <w:top w:val="nil"/>
              <w:left w:val="single" w:sz="4" w:space="0" w:color="auto"/>
              <w:bottom w:val="single" w:sz="8" w:space="0" w:color="auto"/>
              <w:right w:val="single" w:sz="8" w:space="0" w:color="auto"/>
            </w:tcBorders>
            <w:shd w:val="clear" w:color="auto" w:fill="FF0000"/>
          </w:tcPr>
          <w:p w14:paraId="447C6B96"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0D6E9C9A"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7AB107" w14:textId="77777777" w:rsidR="00B51568" w:rsidRPr="0064106D" w:rsidRDefault="00B51568" w:rsidP="00BF676F">
            <w:pPr>
              <w:spacing w:before="120" w:after="120"/>
              <w:rPr>
                <w:rFonts w:cs="Poppins"/>
                <w:noProof/>
                <w:sz w:val="14"/>
                <w:szCs w:val="14"/>
              </w:rPr>
            </w:pPr>
            <w:r w:rsidRPr="0064106D">
              <w:rPr>
                <w:rFonts w:cs="Poppins"/>
                <w:noProof/>
                <w:sz w:val="14"/>
                <w:szCs w:val="14"/>
              </w:rPr>
              <w:t>SE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E615DD" w14:textId="77777777" w:rsidR="00B51568" w:rsidRPr="0064106D" w:rsidRDefault="00B51568" w:rsidP="00BF676F">
            <w:pPr>
              <w:spacing w:before="120" w:after="120"/>
              <w:rPr>
                <w:rFonts w:cs="Poppins"/>
                <w:noProof/>
                <w:sz w:val="14"/>
                <w:szCs w:val="14"/>
              </w:rPr>
            </w:pPr>
            <w:r w:rsidRPr="0064106D">
              <w:rPr>
                <w:rFonts w:cs="Poppins"/>
                <w:noProof/>
                <w:sz w:val="14"/>
                <w:szCs w:val="14"/>
              </w:rPr>
              <w:t>49%</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41E17B3A" w14:textId="77777777" w:rsidR="00B51568" w:rsidRPr="0064106D" w:rsidRDefault="00B51568" w:rsidP="00BF676F">
            <w:pPr>
              <w:spacing w:before="120" w:after="120"/>
              <w:rPr>
                <w:rFonts w:cs="Poppins"/>
                <w:noProof/>
                <w:sz w:val="14"/>
                <w:szCs w:val="14"/>
              </w:rPr>
            </w:pPr>
            <w:r w:rsidRPr="0064106D">
              <w:rPr>
                <w:rFonts w:cs="Poppins"/>
                <w:noProof/>
                <w:sz w:val="14"/>
                <w:szCs w:val="14"/>
              </w:rPr>
              <w:t>62.6%</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24145E7" w14:textId="77777777" w:rsidR="00B51568" w:rsidRPr="0064106D" w:rsidRDefault="00B51568" w:rsidP="00BF676F">
            <w:pPr>
              <w:spacing w:before="120" w:after="120"/>
              <w:rPr>
                <w:rFonts w:cs="Poppins"/>
                <w:noProof/>
                <w:sz w:val="14"/>
                <w:szCs w:val="14"/>
              </w:rPr>
            </w:pPr>
            <w:r w:rsidRPr="0064106D">
              <w:rPr>
                <w:rFonts w:cs="Poppins"/>
                <w:noProof/>
                <w:sz w:val="14"/>
                <w:szCs w:val="14"/>
              </w:rPr>
              <w:t>65%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D235CA0" w14:textId="77777777" w:rsidR="00B51568" w:rsidRPr="0064106D" w:rsidRDefault="00B51568" w:rsidP="00BF676F">
            <w:pPr>
              <w:spacing w:before="120" w:after="120"/>
              <w:rPr>
                <w:rFonts w:cs="Poppins"/>
                <w:noProof/>
                <w:sz w:val="14"/>
                <w:szCs w:val="14"/>
              </w:rPr>
            </w:pPr>
            <w:r w:rsidRPr="0064106D">
              <w:rPr>
                <w:rFonts w:cs="Poppins"/>
                <w:noProof/>
                <w:sz w:val="14"/>
                <w:szCs w:val="14"/>
              </w:rPr>
              <w:t>76%</w:t>
            </w:r>
          </w:p>
        </w:tc>
        <w:tc>
          <w:tcPr>
            <w:tcW w:w="2835" w:type="dxa"/>
            <w:tcBorders>
              <w:top w:val="nil"/>
              <w:left w:val="single" w:sz="4" w:space="0" w:color="auto"/>
              <w:bottom w:val="single" w:sz="8" w:space="0" w:color="auto"/>
              <w:right w:val="single" w:sz="8" w:space="0" w:color="auto"/>
            </w:tcBorders>
            <w:shd w:val="clear" w:color="auto" w:fill="FF0000"/>
          </w:tcPr>
          <w:p w14:paraId="70A53852"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23ACF6EF"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7A6854" w14:textId="77777777" w:rsidR="00B51568" w:rsidRPr="0064106D" w:rsidRDefault="00B51568" w:rsidP="00BF676F">
            <w:pPr>
              <w:spacing w:before="120" w:after="120"/>
              <w:rPr>
                <w:rFonts w:cs="Poppins"/>
                <w:noProof/>
                <w:sz w:val="14"/>
                <w:szCs w:val="14"/>
              </w:rPr>
            </w:pPr>
            <w:r w:rsidRPr="0064106D">
              <w:rPr>
                <w:rFonts w:cs="Poppins"/>
                <w:noProof/>
                <w:sz w:val="14"/>
                <w:szCs w:val="14"/>
              </w:rPr>
              <w:t>SI</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015B0C" w14:textId="77777777" w:rsidR="00B51568" w:rsidRPr="0064106D" w:rsidRDefault="00B51568" w:rsidP="00BF676F">
            <w:pPr>
              <w:spacing w:before="120" w:after="120"/>
              <w:rPr>
                <w:rFonts w:cs="Poppins"/>
                <w:noProof/>
                <w:sz w:val="14"/>
                <w:szCs w:val="14"/>
              </w:rPr>
            </w:pPr>
            <w:r w:rsidRPr="0064106D">
              <w:rPr>
                <w:rFonts w:cs="Poppins"/>
                <w:noProof/>
                <w:sz w:val="14"/>
                <w:szCs w:val="14"/>
              </w:rPr>
              <w:t>25%</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750EB0DA" w14:textId="77777777" w:rsidR="00B51568" w:rsidRPr="0064106D" w:rsidRDefault="00B51568" w:rsidP="00BF676F">
            <w:pPr>
              <w:spacing w:before="120" w:after="120"/>
              <w:rPr>
                <w:rFonts w:cs="Poppins"/>
                <w:noProof/>
                <w:sz w:val="14"/>
                <w:szCs w:val="14"/>
              </w:rPr>
            </w:pPr>
            <w:r w:rsidRPr="0064106D">
              <w:rPr>
                <w:rFonts w:cs="Poppins"/>
                <w:noProof/>
                <w:sz w:val="14"/>
                <w:szCs w:val="14"/>
              </w:rPr>
              <w:t>25.0%</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A37EB3" w14:textId="77777777" w:rsidR="00B51568" w:rsidRPr="0064106D" w:rsidRDefault="00B51568" w:rsidP="00BF676F">
            <w:pPr>
              <w:spacing w:before="120" w:after="120"/>
              <w:rPr>
                <w:rFonts w:cs="Poppins"/>
                <w:noProof/>
                <w:sz w:val="14"/>
                <w:szCs w:val="14"/>
              </w:rPr>
            </w:pPr>
            <w:r w:rsidRPr="0064106D">
              <w:rPr>
                <w:rFonts w:cs="Poppins"/>
                <w:noProof/>
                <w:sz w:val="14"/>
                <w:szCs w:val="14"/>
              </w:rPr>
              <w:t>30%-35%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407B42" w14:textId="77777777" w:rsidR="00B51568" w:rsidRPr="0064106D" w:rsidRDefault="00B51568" w:rsidP="00BF676F">
            <w:pPr>
              <w:spacing w:before="120" w:after="120"/>
              <w:rPr>
                <w:rFonts w:cs="Poppins"/>
                <w:noProof/>
                <w:sz w:val="14"/>
                <w:szCs w:val="14"/>
              </w:rPr>
            </w:pPr>
            <w:r w:rsidRPr="0064106D">
              <w:rPr>
                <w:rFonts w:cs="Poppins"/>
                <w:noProof/>
                <w:sz w:val="14"/>
                <w:szCs w:val="14"/>
              </w:rPr>
              <w:t>46%</w:t>
            </w:r>
          </w:p>
        </w:tc>
        <w:tc>
          <w:tcPr>
            <w:tcW w:w="2835" w:type="dxa"/>
            <w:tcBorders>
              <w:top w:val="nil"/>
              <w:left w:val="single" w:sz="4" w:space="0" w:color="auto"/>
              <w:bottom w:val="single" w:sz="8" w:space="0" w:color="auto"/>
              <w:right w:val="single" w:sz="8" w:space="0" w:color="auto"/>
            </w:tcBorders>
            <w:shd w:val="clear" w:color="auto" w:fill="FF0000"/>
          </w:tcPr>
          <w:p w14:paraId="1AC571D7"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r w:rsidR="00B51568" w:rsidRPr="0064106D" w14:paraId="629650CD" w14:textId="77777777" w:rsidTr="00ED28A1">
        <w:trPr>
          <w:trHeight w:val="113"/>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8A00A5" w14:textId="77777777" w:rsidR="00B51568" w:rsidRPr="0064106D" w:rsidRDefault="00B51568" w:rsidP="00BF676F">
            <w:pPr>
              <w:spacing w:before="120" w:after="120"/>
              <w:rPr>
                <w:rFonts w:cs="Poppins"/>
                <w:noProof/>
                <w:sz w:val="14"/>
                <w:szCs w:val="14"/>
              </w:rPr>
            </w:pPr>
            <w:r w:rsidRPr="0064106D">
              <w:rPr>
                <w:rFonts w:cs="Poppins"/>
                <w:noProof/>
                <w:sz w:val="14"/>
                <w:szCs w:val="14"/>
              </w:rPr>
              <w:t>SK</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47A144" w14:textId="77777777" w:rsidR="00B51568" w:rsidRPr="0064106D" w:rsidRDefault="00B51568" w:rsidP="00BF676F">
            <w:pPr>
              <w:spacing w:before="120" w:after="120"/>
              <w:rPr>
                <w:rFonts w:cs="Poppins"/>
                <w:noProof/>
                <w:sz w:val="14"/>
                <w:szCs w:val="14"/>
              </w:rPr>
            </w:pPr>
            <w:r w:rsidRPr="0064106D">
              <w:rPr>
                <w:rFonts w:cs="Poppins"/>
                <w:noProof/>
                <w:sz w:val="14"/>
                <w:szCs w:val="14"/>
              </w:rPr>
              <w:t>14%</w:t>
            </w:r>
          </w:p>
        </w:tc>
        <w:tc>
          <w:tcPr>
            <w:tcW w:w="1417" w:type="dxa"/>
            <w:tcBorders>
              <w:top w:val="nil"/>
              <w:left w:val="nil"/>
              <w:bottom w:val="single" w:sz="8" w:space="0" w:color="auto"/>
              <w:right w:val="double" w:sz="4" w:space="0" w:color="auto"/>
            </w:tcBorders>
            <w:noWrap/>
            <w:tcMar>
              <w:top w:w="0" w:type="dxa"/>
              <w:left w:w="108" w:type="dxa"/>
              <w:bottom w:w="0" w:type="dxa"/>
              <w:right w:w="108" w:type="dxa"/>
            </w:tcMar>
            <w:hideMark/>
          </w:tcPr>
          <w:p w14:paraId="41029A0D" w14:textId="77777777" w:rsidR="00B51568" w:rsidRPr="0064106D" w:rsidRDefault="00B51568" w:rsidP="00BF676F">
            <w:pPr>
              <w:spacing w:before="120" w:after="120"/>
              <w:rPr>
                <w:rFonts w:cs="Poppins"/>
                <w:noProof/>
                <w:sz w:val="14"/>
                <w:szCs w:val="14"/>
              </w:rPr>
            </w:pPr>
            <w:r w:rsidRPr="0064106D">
              <w:rPr>
                <w:rFonts w:cs="Poppins"/>
                <w:noProof/>
                <w:sz w:val="14"/>
                <w:szCs w:val="14"/>
              </w:rPr>
              <w:t>17.4%</w:t>
            </w:r>
          </w:p>
        </w:tc>
        <w:tc>
          <w:tcPr>
            <w:tcW w:w="1701" w:type="dxa"/>
            <w:tcBorders>
              <w:top w:val="single" w:sz="4" w:space="0" w:color="auto"/>
              <w:left w:val="doub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BDCB160" w14:textId="77777777" w:rsidR="00B51568" w:rsidRPr="0064106D" w:rsidRDefault="00B51568" w:rsidP="00BF676F">
            <w:pPr>
              <w:spacing w:before="120" w:after="120"/>
              <w:rPr>
                <w:rFonts w:cs="Poppins"/>
                <w:noProof/>
                <w:sz w:val="14"/>
                <w:szCs w:val="14"/>
              </w:rPr>
            </w:pPr>
            <w:r w:rsidRPr="0064106D">
              <w:rPr>
                <w:rFonts w:cs="Poppins"/>
                <w:noProof/>
                <w:sz w:val="14"/>
                <w:szCs w:val="14"/>
              </w:rPr>
              <w:t>23%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C8D82BE" w14:textId="77777777" w:rsidR="00B51568" w:rsidRPr="0064106D" w:rsidRDefault="00B51568" w:rsidP="00BF676F">
            <w:pPr>
              <w:spacing w:before="120" w:after="120"/>
              <w:rPr>
                <w:rFonts w:cs="Poppins"/>
                <w:noProof/>
                <w:sz w:val="14"/>
                <w:szCs w:val="14"/>
              </w:rPr>
            </w:pPr>
            <w:r w:rsidRPr="0064106D">
              <w:rPr>
                <w:rFonts w:cs="Poppins"/>
                <w:noProof/>
                <w:sz w:val="14"/>
                <w:szCs w:val="14"/>
              </w:rPr>
              <w:t>35%</w:t>
            </w:r>
          </w:p>
        </w:tc>
        <w:tc>
          <w:tcPr>
            <w:tcW w:w="2835" w:type="dxa"/>
            <w:tcBorders>
              <w:top w:val="nil"/>
              <w:left w:val="single" w:sz="4" w:space="0" w:color="auto"/>
              <w:bottom w:val="single" w:sz="8" w:space="0" w:color="auto"/>
              <w:right w:val="single" w:sz="8" w:space="0" w:color="auto"/>
            </w:tcBorders>
            <w:shd w:val="clear" w:color="auto" w:fill="FF0000"/>
          </w:tcPr>
          <w:p w14:paraId="5BDDAF2E" w14:textId="77777777" w:rsidR="00B51568" w:rsidRPr="0064106D" w:rsidRDefault="00B51568" w:rsidP="00BF676F">
            <w:pPr>
              <w:spacing w:before="120" w:after="120"/>
              <w:rPr>
                <w:rFonts w:cs="Poppins"/>
                <w:noProof/>
                <w:sz w:val="14"/>
                <w:szCs w:val="14"/>
              </w:rPr>
            </w:pPr>
            <w:r w:rsidRPr="0064106D">
              <w:rPr>
                <w:rFonts w:cs="Poppins"/>
                <w:noProof/>
                <w:sz w:val="14"/>
                <w:szCs w:val="14"/>
              </w:rPr>
              <w:t>Significativamente por debajo</w:t>
            </w:r>
          </w:p>
        </w:tc>
      </w:tr>
    </w:tbl>
    <w:p w14:paraId="3BA6A130" w14:textId="77777777" w:rsidR="00B51568" w:rsidRPr="00172698" w:rsidRDefault="00B51568" w:rsidP="00BF676F">
      <w:pPr>
        <w:spacing w:before="120" w:after="120"/>
        <w:rPr>
          <w:rFonts w:cs="Poppins"/>
          <w:sz w:val="18"/>
          <w:szCs w:val="18"/>
        </w:rPr>
      </w:pPr>
    </w:p>
    <w:p w14:paraId="28996207" w14:textId="77C91E4A" w:rsidR="0064106D" w:rsidRDefault="00B51568" w:rsidP="00BF676F">
      <w:pPr>
        <w:spacing w:before="120" w:after="120"/>
        <w:rPr>
          <w:rFonts w:cs="Poppins"/>
          <w:sz w:val="18"/>
          <w:szCs w:val="18"/>
        </w:rPr>
      </w:pPr>
      <w:r w:rsidRPr="00172698">
        <w:rPr>
          <w:rFonts w:cs="Poppins"/>
          <w:sz w:val="18"/>
          <w:szCs w:val="18"/>
        </w:rPr>
        <w:t xml:space="preserve">Respecto a </w:t>
      </w:r>
      <w:r w:rsidR="002E0EC3">
        <w:rPr>
          <w:rFonts w:cs="Poppins"/>
          <w:sz w:val="18"/>
          <w:szCs w:val="18"/>
        </w:rPr>
        <w:t xml:space="preserve">la </w:t>
      </w:r>
      <w:r w:rsidRPr="00172698">
        <w:rPr>
          <w:rFonts w:cs="Poppins"/>
          <w:sz w:val="18"/>
          <w:szCs w:val="18"/>
          <w:u w:val="single"/>
        </w:rPr>
        <w:t>eficiencia energética</w:t>
      </w:r>
      <w:r w:rsidRPr="00172698">
        <w:rPr>
          <w:rFonts w:cs="Poppins"/>
          <w:sz w:val="18"/>
          <w:szCs w:val="18"/>
        </w:rPr>
        <w:t xml:space="preserve"> </w:t>
      </w:r>
      <w:r>
        <w:rPr>
          <w:rFonts w:cs="Poppins"/>
          <w:sz w:val="18"/>
          <w:szCs w:val="18"/>
        </w:rPr>
        <w:t>v</w:t>
      </w:r>
      <w:r w:rsidRPr="00172698">
        <w:rPr>
          <w:rFonts w:cs="Poppins"/>
          <w:sz w:val="18"/>
          <w:szCs w:val="18"/>
        </w:rPr>
        <w:t xml:space="preserve">eintitrés Estados miembros (Bélgica, Chipre, Chequia, Dinamarca, Alemania, Estonia, Finlandia, Francia, Grecia, </w:t>
      </w:r>
      <w:r w:rsidRPr="00172698">
        <w:rPr>
          <w:rFonts w:cs="Poppins"/>
          <w:b/>
          <w:bCs/>
          <w:sz w:val="18"/>
          <w:szCs w:val="18"/>
        </w:rPr>
        <w:t>España</w:t>
      </w:r>
      <w:r w:rsidRPr="00172698">
        <w:rPr>
          <w:rFonts w:cs="Poppins"/>
          <w:sz w:val="18"/>
          <w:szCs w:val="18"/>
        </w:rPr>
        <w:t xml:space="preserve">, Croacia, Hungría, Italia, Irlanda, Letonia, Lituania, Luxemburgo, Países Bajos, Rumanía, Portugal, Eslovenia, Eslovaquia, Suecia) presentaron un </w:t>
      </w:r>
      <w:r>
        <w:rPr>
          <w:rFonts w:cs="Poppins"/>
          <w:sz w:val="18"/>
          <w:szCs w:val="18"/>
        </w:rPr>
        <w:t>PNIEC</w:t>
      </w:r>
      <w:r w:rsidRPr="00172698">
        <w:rPr>
          <w:rFonts w:cs="Poppins"/>
          <w:sz w:val="18"/>
          <w:szCs w:val="18"/>
        </w:rPr>
        <w:t xml:space="preserve"> actualizado preliminar que incluye una contribución explícita o implícita al objetivo vinculante de la UE del </w:t>
      </w:r>
      <w:r w:rsidR="002E0EC3">
        <w:rPr>
          <w:rFonts w:cs="Poppins"/>
          <w:sz w:val="18"/>
          <w:szCs w:val="18"/>
        </w:rPr>
        <w:t xml:space="preserve">reducir en un 11,7% el consumo de energía final en 2030, respecto al escenario base proyectado en 2020. </w:t>
      </w:r>
    </w:p>
    <w:p w14:paraId="650ED953" w14:textId="706005B4" w:rsidR="00B51568" w:rsidRDefault="00B51568" w:rsidP="00BF676F">
      <w:pPr>
        <w:spacing w:before="120" w:after="120"/>
        <w:rPr>
          <w:rFonts w:cs="Poppins"/>
          <w:sz w:val="18"/>
          <w:szCs w:val="18"/>
        </w:rPr>
      </w:pPr>
      <w:r>
        <w:rPr>
          <w:rFonts w:cs="Poppins"/>
          <w:sz w:val="18"/>
          <w:szCs w:val="18"/>
        </w:rPr>
        <w:t xml:space="preserve">Además, </w:t>
      </w:r>
      <w:r w:rsidR="002E0EC3">
        <w:rPr>
          <w:rFonts w:cs="Poppins"/>
          <w:sz w:val="18"/>
          <w:szCs w:val="18"/>
        </w:rPr>
        <w:t>l</w:t>
      </w:r>
      <w:r>
        <w:rPr>
          <w:rFonts w:cs="Poppins"/>
          <w:sz w:val="18"/>
          <w:szCs w:val="18"/>
        </w:rPr>
        <w:t xml:space="preserve">a </w:t>
      </w:r>
      <w:r w:rsidR="002E0EC3">
        <w:rPr>
          <w:rFonts w:cs="Poppins"/>
          <w:sz w:val="18"/>
          <w:szCs w:val="18"/>
        </w:rPr>
        <w:t>C</w:t>
      </w:r>
      <w:r>
        <w:rPr>
          <w:rFonts w:cs="Poppins"/>
          <w:sz w:val="18"/>
          <w:szCs w:val="18"/>
        </w:rPr>
        <w:t xml:space="preserve">omisión ha redactado </w:t>
      </w:r>
      <w:hyperlink r:id="rId8" w:history="1">
        <w:r w:rsidRPr="0066097B">
          <w:rPr>
            <w:rStyle w:val="Hipervnculo"/>
            <w:rFonts w:cs="Poppins"/>
            <w:sz w:val="18"/>
            <w:szCs w:val="18"/>
          </w:rPr>
          <w:t>recomendaciones individuales para España</w:t>
        </w:r>
      </w:hyperlink>
      <w:r>
        <w:rPr>
          <w:rFonts w:cs="Poppins"/>
          <w:sz w:val="18"/>
          <w:szCs w:val="18"/>
        </w:rPr>
        <w:t>, que</w:t>
      </w:r>
      <w:r w:rsidRPr="0066097B">
        <w:rPr>
          <w:rFonts w:cs="Poppins"/>
          <w:sz w:val="18"/>
          <w:szCs w:val="18"/>
        </w:rPr>
        <w:t xml:space="preserve"> debe tener en cuenta al desarrollar su </w:t>
      </w:r>
      <w:r>
        <w:rPr>
          <w:rFonts w:cs="Poppins"/>
          <w:sz w:val="18"/>
          <w:szCs w:val="18"/>
        </w:rPr>
        <w:t>PNIEC</w:t>
      </w:r>
      <w:r w:rsidRPr="0066097B">
        <w:rPr>
          <w:rFonts w:cs="Poppins"/>
          <w:sz w:val="18"/>
          <w:szCs w:val="18"/>
        </w:rPr>
        <w:t xml:space="preserve"> final actualizado</w:t>
      </w:r>
      <w:r>
        <w:rPr>
          <w:rFonts w:cs="Poppins"/>
          <w:sz w:val="18"/>
          <w:szCs w:val="18"/>
        </w:rPr>
        <w:t xml:space="preserve">. De las recomendaciones destaca: </w:t>
      </w:r>
    </w:p>
    <w:p w14:paraId="05B43421" w14:textId="56FB1316"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Completar </w:t>
      </w:r>
      <w:r w:rsidR="002E0EC3">
        <w:rPr>
          <w:rFonts w:ascii="Poppins" w:hAnsi="Poppins" w:cs="Poppins"/>
          <w:b/>
          <w:bCs/>
          <w:sz w:val="18"/>
          <w:szCs w:val="18"/>
        </w:rPr>
        <w:t>i</w:t>
      </w:r>
      <w:r w:rsidRPr="00770693">
        <w:rPr>
          <w:rFonts w:ascii="Poppins" w:hAnsi="Poppins" w:cs="Poppins"/>
          <w:b/>
          <w:bCs/>
          <w:sz w:val="18"/>
          <w:szCs w:val="18"/>
        </w:rPr>
        <w:t xml:space="preserve">nformación sobre </w:t>
      </w:r>
      <w:r w:rsidR="002E0EC3">
        <w:rPr>
          <w:rFonts w:ascii="Poppins" w:hAnsi="Poppins" w:cs="Poppins"/>
          <w:b/>
          <w:bCs/>
          <w:sz w:val="18"/>
          <w:szCs w:val="18"/>
        </w:rPr>
        <w:t>p</w:t>
      </w:r>
      <w:r w:rsidRPr="00770693">
        <w:rPr>
          <w:rFonts w:ascii="Poppins" w:hAnsi="Poppins" w:cs="Poppins"/>
          <w:b/>
          <w:bCs/>
          <w:sz w:val="18"/>
          <w:szCs w:val="18"/>
        </w:rPr>
        <w:t xml:space="preserve">olíticas y </w:t>
      </w:r>
      <w:r w:rsidR="002E0EC3">
        <w:rPr>
          <w:rFonts w:ascii="Poppins" w:hAnsi="Poppins" w:cs="Poppins"/>
          <w:b/>
          <w:bCs/>
          <w:sz w:val="18"/>
          <w:szCs w:val="18"/>
        </w:rPr>
        <w:t>m</w:t>
      </w:r>
      <w:r w:rsidRPr="00770693">
        <w:rPr>
          <w:rFonts w:ascii="Poppins" w:hAnsi="Poppins" w:cs="Poppins"/>
          <w:b/>
          <w:bCs/>
          <w:sz w:val="18"/>
          <w:szCs w:val="18"/>
        </w:rPr>
        <w:t>edidas</w:t>
      </w:r>
      <w:r w:rsidRPr="00770693">
        <w:rPr>
          <w:rFonts w:ascii="Poppins" w:hAnsi="Poppins" w:cs="Poppins"/>
          <w:sz w:val="18"/>
          <w:szCs w:val="18"/>
        </w:rPr>
        <w:t xml:space="preserve">: </w:t>
      </w:r>
      <w:r w:rsidR="00986028">
        <w:rPr>
          <w:rFonts w:ascii="Poppins" w:hAnsi="Poppins" w:cs="Poppins"/>
          <w:sz w:val="18"/>
          <w:szCs w:val="18"/>
        </w:rPr>
        <w:t>a</w:t>
      </w:r>
      <w:r w:rsidRPr="00770693">
        <w:rPr>
          <w:rFonts w:ascii="Poppins" w:hAnsi="Poppins" w:cs="Poppins"/>
          <w:sz w:val="18"/>
          <w:szCs w:val="18"/>
        </w:rPr>
        <w:t>mpliar los detalles sobre las políticas y medidas existentes y planificadas, especialmente en el sector agrícola, para cumplir el objetivo nacional de reducción de gases de efecto invernadero.</w:t>
      </w:r>
    </w:p>
    <w:p w14:paraId="6D407A7A" w14:textId="79180B1B"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Captura</w:t>
      </w:r>
      <w:r w:rsidR="00986028">
        <w:rPr>
          <w:rFonts w:ascii="Poppins" w:hAnsi="Poppins" w:cs="Poppins"/>
          <w:b/>
          <w:bCs/>
          <w:sz w:val="18"/>
          <w:szCs w:val="18"/>
        </w:rPr>
        <w:t>, Almacenamiento y Uso</w:t>
      </w:r>
      <w:r w:rsidRPr="00770693">
        <w:rPr>
          <w:rFonts w:ascii="Poppins" w:hAnsi="Poppins" w:cs="Poppins"/>
          <w:b/>
          <w:bCs/>
          <w:sz w:val="18"/>
          <w:szCs w:val="18"/>
        </w:rPr>
        <w:t xml:space="preserve"> de</w:t>
      </w:r>
      <w:r w:rsidR="00986028">
        <w:rPr>
          <w:rFonts w:ascii="Poppins" w:hAnsi="Poppins" w:cs="Poppins"/>
          <w:b/>
          <w:bCs/>
          <w:sz w:val="18"/>
          <w:szCs w:val="18"/>
        </w:rPr>
        <w:t>l</w:t>
      </w:r>
      <w:r w:rsidRPr="00770693">
        <w:rPr>
          <w:rFonts w:ascii="Poppins" w:hAnsi="Poppins" w:cs="Poppins"/>
          <w:b/>
          <w:bCs/>
          <w:sz w:val="18"/>
          <w:szCs w:val="18"/>
        </w:rPr>
        <w:t xml:space="preserve"> CO</w:t>
      </w:r>
      <w:r w:rsidRPr="00770693">
        <w:rPr>
          <w:rFonts w:ascii="Poppins" w:hAnsi="Poppins" w:cs="Poppins"/>
          <w:b/>
          <w:bCs/>
          <w:sz w:val="14"/>
          <w:szCs w:val="14"/>
        </w:rPr>
        <w:t>2</w:t>
      </w:r>
      <w:r w:rsidRPr="00770693">
        <w:rPr>
          <w:rFonts w:ascii="Poppins" w:hAnsi="Poppins" w:cs="Poppins"/>
          <w:sz w:val="18"/>
          <w:szCs w:val="18"/>
        </w:rPr>
        <w:t xml:space="preserve">: </w:t>
      </w:r>
      <w:r w:rsidR="00986028">
        <w:rPr>
          <w:rFonts w:ascii="Poppins" w:hAnsi="Poppins" w:cs="Poppins"/>
          <w:sz w:val="18"/>
          <w:szCs w:val="18"/>
        </w:rPr>
        <w:t>i</w:t>
      </w:r>
      <w:r w:rsidRPr="00770693">
        <w:rPr>
          <w:rFonts w:ascii="Poppins" w:hAnsi="Poppins" w:cs="Poppins"/>
          <w:sz w:val="18"/>
          <w:szCs w:val="18"/>
        </w:rPr>
        <w:t>dentificar la cantidad de emisiones de CO</w:t>
      </w:r>
      <w:r w:rsidRPr="00770693">
        <w:rPr>
          <w:rFonts w:ascii="Poppins" w:hAnsi="Poppins" w:cs="Poppins"/>
          <w:sz w:val="14"/>
          <w:szCs w:val="14"/>
        </w:rPr>
        <w:t>2</w:t>
      </w:r>
      <w:r w:rsidRPr="00770693">
        <w:rPr>
          <w:rFonts w:ascii="Poppins" w:hAnsi="Poppins" w:cs="Poppins"/>
          <w:sz w:val="18"/>
          <w:szCs w:val="18"/>
        </w:rPr>
        <w:t xml:space="preserve"> que se podrían capturar para 2030, detallar su transporte y la capacidad de almacenamiento.</w:t>
      </w:r>
    </w:p>
    <w:p w14:paraId="5DA785C4" w14:textId="7EC75DB3"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lastRenderedPageBreak/>
        <w:t xml:space="preserve">Objetivo </w:t>
      </w:r>
      <w:r w:rsidR="00E74DB0">
        <w:rPr>
          <w:rFonts w:ascii="Poppins" w:hAnsi="Poppins" w:cs="Poppins"/>
          <w:b/>
          <w:bCs/>
          <w:sz w:val="18"/>
          <w:szCs w:val="18"/>
        </w:rPr>
        <w:t>n</w:t>
      </w:r>
      <w:r w:rsidRPr="00770693">
        <w:rPr>
          <w:rFonts w:ascii="Poppins" w:hAnsi="Poppins" w:cs="Poppins"/>
          <w:b/>
          <w:bCs/>
          <w:sz w:val="18"/>
          <w:szCs w:val="18"/>
        </w:rPr>
        <w:t>acional LULUCF</w:t>
      </w:r>
      <w:r w:rsidRPr="00770693">
        <w:rPr>
          <w:rFonts w:ascii="Poppins" w:hAnsi="Poppins" w:cs="Poppins"/>
          <w:sz w:val="18"/>
          <w:szCs w:val="18"/>
        </w:rPr>
        <w:t xml:space="preserve">: </w:t>
      </w:r>
      <w:r w:rsidR="00E74DB0">
        <w:rPr>
          <w:rFonts w:ascii="Poppins" w:hAnsi="Poppins" w:cs="Poppins"/>
          <w:sz w:val="18"/>
          <w:szCs w:val="18"/>
        </w:rPr>
        <w:t>d</w:t>
      </w:r>
      <w:r w:rsidRPr="00770693">
        <w:rPr>
          <w:rFonts w:ascii="Poppins" w:hAnsi="Poppins" w:cs="Poppins"/>
          <w:sz w:val="18"/>
          <w:szCs w:val="18"/>
        </w:rPr>
        <w:t>efinir un camino claro hacia el cumplimiento del objetivo nacional en el sector de Uso de la Tierra, Cambio de Uso de la Tierra y Silvicultura (LULUCF), incluyendo medidas adicionales.</w:t>
      </w:r>
    </w:p>
    <w:p w14:paraId="7EC39C52" w14:textId="7D138C24"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Políticas de </w:t>
      </w:r>
      <w:r w:rsidR="00E74DB0">
        <w:rPr>
          <w:rFonts w:ascii="Poppins" w:hAnsi="Poppins" w:cs="Poppins"/>
          <w:b/>
          <w:bCs/>
          <w:sz w:val="18"/>
          <w:szCs w:val="18"/>
        </w:rPr>
        <w:t>a</w:t>
      </w:r>
      <w:r w:rsidRPr="00770693">
        <w:rPr>
          <w:rFonts w:ascii="Poppins" w:hAnsi="Poppins" w:cs="Poppins"/>
          <w:b/>
          <w:bCs/>
          <w:sz w:val="18"/>
          <w:szCs w:val="18"/>
        </w:rPr>
        <w:t>daptación</w:t>
      </w:r>
      <w:r w:rsidRPr="00770693">
        <w:rPr>
          <w:rFonts w:ascii="Poppins" w:hAnsi="Poppins" w:cs="Poppins"/>
          <w:sz w:val="18"/>
          <w:szCs w:val="18"/>
        </w:rPr>
        <w:t xml:space="preserve">: </w:t>
      </w:r>
      <w:r w:rsidR="00E74DB0">
        <w:rPr>
          <w:rFonts w:ascii="Poppins" w:hAnsi="Poppins" w:cs="Poppins"/>
          <w:sz w:val="18"/>
          <w:szCs w:val="18"/>
        </w:rPr>
        <w:t>d</w:t>
      </w:r>
      <w:r w:rsidRPr="00770693">
        <w:rPr>
          <w:rFonts w:ascii="Poppins" w:hAnsi="Poppins" w:cs="Poppins"/>
          <w:sz w:val="18"/>
          <w:szCs w:val="18"/>
        </w:rPr>
        <w:t>esarrollar políticas y medidas adicionales de adaptación para apoyar el logro de los objetivos nacionales en el marco de la Unión Energética.</w:t>
      </w:r>
    </w:p>
    <w:p w14:paraId="3150FA1D" w14:textId="4CFB0FC6"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Plan de </w:t>
      </w:r>
      <w:r w:rsidR="00E74DB0">
        <w:rPr>
          <w:rFonts w:ascii="Poppins" w:hAnsi="Poppins" w:cs="Poppins"/>
          <w:b/>
          <w:bCs/>
          <w:sz w:val="18"/>
          <w:szCs w:val="18"/>
        </w:rPr>
        <w:t>e</w:t>
      </w:r>
      <w:r w:rsidRPr="00770693">
        <w:rPr>
          <w:rFonts w:ascii="Poppins" w:hAnsi="Poppins" w:cs="Poppins"/>
          <w:b/>
          <w:bCs/>
          <w:sz w:val="18"/>
          <w:szCs w:val="18"/>
        </w:rPr>
        <w:t xml:space="preserve">nergías </w:t>
      </w:r>
      <w:r w:rsidR="00E74DB0">
        <w:rPr>
          <w:rFonts w:ascii="Poppins" w:hAnsi="Poppins" w:cs="Poppins"/>
          <w:b/>
          <w:bCs/>
          <w:sz w:val="18"/>
          <w:szCs w:val="18"/>
        </w:rPr>
        <w:t>r</w:t>
      </w:r>
      <w:r w:rsidRPr="00770693">
        <w:rPr>
          <w:rFonts w:ascii="Poppins" w:hAnsi="Poppins" w:cs="Poppins"/>
          <w:b/>
          <w:bCs/>
          <w:sz w:val="18"/>
          <w:szCs w:val="18"/>
        </w:rPr>
        <w:t>enovables</w:t>
      </w:r>
      <w:r w:rsidRPr="00770693">
        <w:rPr>
          <w:rFonts w:ascii="Poppins" w:hAnsi="Poppins" w:cs="Poppins"/>
          <w:sz w:val="18"/>
          <w:szCs w:val="18"/>
        </w:rPr>
        <w:t xml:space="preserve">: </w:t>
      </w:r>
      <w:r w:rsidR="00E74DB0">
        <w:rPr>
          <w:rFonts w:ascii="Poppins" w:hAnsi="Poppins" w:cs="Poppins"/>
          <w:sz w:val="18"/>
          <w:szCs w:val="18"/>
        </w:rPr>
        <w:t>p</w:t>
      </w:r>
      <w:r w:rsidRPr="00770693">
        <w:rPr>
          <w:rFonts w:ascii="Poppins" w:hAnsi="Poppins" w:cs="Poppins"/>
          <w:sz w:val="18"/>
          <w:szCs w:val="18"/>
        </w:rPr>
        <w:t>roporcionar trayectorias y planes a largo plazo para el despliegue de tecnologías de energía renovable en los próximos 10 años.</w:t>
      </w:r>
    </w:p>
    <w:p w14:paraId="0A97FBFC" w14:textId="485DEEC7"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Políticas </w:t>
      </w:r>
      <w:r w:rsidR="00E74DB0">
        <w:rPr>
          <w:rFonts w:ascii="Poppins" w:hAnsi="Poppins" w:cs="Poppins"/>
          <w:b/>
          <w:bCs/>
          <w:sz w:val="18"/>
          <w:szCs w:val="18"/>
        </w:rPr>
        <w:t>c</w:t>
      </w:r>
      <w:r w:rsidRPr="00770693">
        <w:rPr>
          <w:rFonts w:ascii="Poppins" w:hAnsi="Poppins" w:cs="Poppins"/>
          <w:b/>
          <w:bCs/>
          <w:sz w:val="18"/>
          <w:szCs w:val="18"/>
        </w:rPr>
        <w:t>onformes a Directivas de la UE</w:t>
      </w:r>
      <w:r w:rsidRPr="00770693">
        <w:rPr>
          <w:rFonts w:ascii="Poppins" w:hAnsi="Poppins" w:cs="Poppins"/>
          <w:sz w:val="18"/>
          <w:szCs w:val="18"/>
        </w:rPr>
        <w:t xml:space="preserve">: </w:t>
      </w:r>
      <w:r w:rsidR="00E74DB0">
        <w:rPr>
          <w:rFonts w:ascii="Poppins" w:hAnsi="Poppins" w:cs="Poppins"/>
          <w:sz w:val="18"/>
          <w:szCs w:val="18"/>
        </w:rPr>
        <w:t>e</w:t>
      </w:r>
      <w:r w:rsidRPr="00770693">
        <w:rPr>
          <w:rFonts w:ascii="Poppins" w:hAnsi="Poppins" w:cs="Poppins"/>
          <w:sz w:val="18"/>
          <w:szCs w:val="18"/>
        </w:rPr>
        <w:t>laborar políticas y medidas detalladas que estén en línea con la Directiva (UE) 2018/2001 modificada para lograr los objetivos de energía renovable de manera oportuna y coste-efectiva.</w:t>
      </w:r>
    </w:p>
    <w:p w14:paraId="03AAB709" w14:textId="0BB5A258"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Bioenergía y </w:t>
      </w:r>
      <w:r w:rsidR="00E74DB0">
        <w:rPr>
          <w:rFonts w:ascii="Poppins" w:hAnsi="Poppins" w:cs="Poppins"/>
          <w:b/>
          <w:bCs/>
          <w:sz w:val="18"/>
          <w:szCs w:val="18"/>
        </w:rPr>
        <w:t>s</w:t>
      </w:r>
      <w:r w:rsidRPr="00770693">
        <w:rPr>
          <w:rFonts w:ascii="Poppins" w:hAnsi="Poppins" w:cs="Poppins"/>
          <w:b/>
          <w:bCs/>
          <w:sz w:val="18"/>
          <w:szCs w:val="18"/>
        </w:rPr>
        <w:t>ostenibilidad</w:t>
      </w:r>
      <w:r w:rsidRPr="00770693">
        <w:rPr>
          <w:rFonts w:ascii="Poppins" w:hAnsi="Poppins" w:cs="Poppins"/>
          <w:sz w:val="18"/>
          <w:szCs w:val="18"/>
        </w:rPr>
        <w:t xml:space="preserve">: </w:t>
      </w:r>
      <w:r w:rsidR="00E74DB0">
        <w:rPr>
          <w:rFonts w:ascii="Poppins" w:hAnsi="Poppins" w:cs="Poppins"/>
          <w:sz w:val="18"/>
          <w:szCs w:val="18"/>
        </w:rPr>
        <w:t>i</w:t>
      </w:r>
      <w:r w:rsidRPr="00770693">
        <w:rPr>
          <w:rFonts w:ascii="Poppins" w:hAnsi="Poppins" w:cs="Poppins"/>
          <w:sz w:val="18"/>
          <w:szCs w:val="18"/>
        </w:rPr>
        <w:t>ncluir información sobre el suministro y demanda de bioenergía, asegurando su sostenibilidad.</w:t>
      </w:r>
    </w:p>
    <w:p w14:paraId="473C887F" w14:textId="5294CA40"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Cronograma de </w:t>
      </w:r>
      <w:r w:rsidR="00E74DB0">
        <w:rPr>
          <w:rFonts w:ascii="Poppins" w:hAnsi="Poppins" w:cs="Poppins"/>
          <w:b/>
          <w:bCs/>
          <w:sz w:val="18"/>
          <w:szCs w:val="18"/>
        </w:rPr>
        <w:t>p</w:t>
      </w:r>
      <w:r w:rsidRPr="00770693">
        <w:rPr>
          <w:rFonts w:ascii="Poppins" w:hAnsi="Poppins" w:cs="Poppins"/>
          <w:b/>
          <w:bCs/>
          <w:sz w:val="18"/>
          <w:szCs w:val="18"/>
        </w:rPr>
        <w:t xml:space="preserve">olíticas y </w:t>
      </w:r>
      <w:r w:rsidR="00E74DB0">
        <w:rPr>
          <w:rFonts w:ascii="Poppins" w:hAnsi="Poppins" w:cs="Poppins"/>
          <w:b/>
          <w:bCs/>
          <w:sz w:val="18"/>
          <w:szCs w:val="18"/>
        </w:rPr>
        <w:t>m</w:t>
      </w:r>
      <w:r w:rsidRPr="00770693">
        <w:rPr>
          <w:rFonts w:ascii="Poppins" w:hAnsi="Poppins" w:cs="Poppins"/>
          <w:b/>
          <w:bCs/>
          <w:sz w:val="18"/>
          <w:szCs w:val="18"/>
        </w:rPr>
        <w:t>edidas</w:t>
      </w:r>
      <w:r w:rsidRPr="00770693">
        <w:rPr>
          <w:rFonts w:ascii="Poppins" w:hAnsi="Poppins" w:cs="Poppins"/>
          <w:sz w:val="18"/>
          <w:szCs w:val="18"/>
        </w:rPr>
        <w:t xml:space="preserve">: </w:t>
      </w:r>
      <w:r w:rsidR="00E74DB0">
        <w:rPr>
          <w:rFonts w:ascii="Poppins" w:hAnsi="Poppins" w:cs="Poppins"/>
          <w:sz w:val="18"/>
          <w:szCs w:val="18"/>
        </w:rPr>
        <w:t>p</w:t>
      </w:r>
      <w:r w:rsidRPr="00770693">
        <w:rPr>
          <w:rFonts w:ascii="Poppins" w:hAnsi="Poppins" w:cs="Poppins"/>
          <w:sz w:val="18"/>
          <w:szCs w:val="18"/>
        </w:rPr>
        <w:t>roporcionar un cronograma para la adopción de políticas y medidas legislativas y no legislativas necesarias.</w:t>
      </w:r>
    </w:p>
    <w:p w14:paraId="784D3AC3" w14:textId="143D4033"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Contribución a la </w:t>
      </w:r>
      <w:r w:rsidR="00E74DB0">
        <w:rPr>
          <w:rFonts w:ascii="Poppins" w:hAnsi="Poppins" w:cs="Poppins"/>
          <w:b/>
          <w:bCs/>
          <w:sz w:val="18"/>
          <w:szCs w:val="18"/>
        </w:rPr>
        <w:t>e</w:t>
      </w:r>
      <w:r w:rsidRPr="00770693">
        <w:rPr>
          <w:rFonts w:ascii="Poppins" w:hAnsi="Poppins" w:cs="Poppins"/>
          <w:b/>
          <w:bCs/>
          <w:sz w:val="18"/>
          <w:szCs w:val="18"/>
        </w:rPr>
        <w:t xml:space="preserve">ficiencia </w:t>
      </w:r>
      <w:r w:rsidR="00E74DB0">
        <w:rPr>
          <w:rFonts w:ascii="Poppins" w:hAnsi="Poppins" w:cs="Poppins"/>
          <w:b/>
          <w:bCs/>
          <w:sz w:val="18"/>
          <w:szCs w:val="18"/>
        </w:rPr>
        <w:t>e</w:t>
      </w:r>
      <w:r w:rsidRPr="00770693">
        <w:rPr>
          <w:rFonts w:ascii="Poppins" w:hAnsi="Poppins" w:cs="Poppins"/>
          <w:b/>
          <w:bCs/>
          <w:sz w:val="18"/>
          <w:szCs w:val="18"/>
        </w:rPr>
        <w:t>nergética</w:t>
      </w:r>
      <w:r w:rsidRPr="00770693">
        <w:rPr>
          <w:rFonts w:ascii="Poppins" w:hAnsi="Poppins" w:cs="Poppins"/>
          <w:sz w:val="18"/>
          <w:szCs w:val="18"/>
        </w:rPr>
        <w:t xml:space="preserve">: </w:t>
      </w:r>
      <w:r w:rsidR="00E74DB0">
        <w:rPr>
          <w:rFonts w:ascii="Poppins" w:hAnsi="Poppins" w:cs="Poppins"/>
          <w:sz w:val="18"/>
          <w:szCs w:val="18"/>
        </w:rPr>
        <w:t>i</w:t>
      </w:r>
      <w:r w:rsidRPr="00770693">
        <w:rPr>
          <w:rFonts w:ascii="Poppins" w:hAnsi="Poppins" w:cs="Poppins"/>
          <w:sz w:val="18"/>
          <w:szCs w:val="18"/>
        </w:rPr>
        <w:t>ncluir una contribución nacional al objetivo de eficiencia energética de la UE para el consumo final de energía.</w:t>
      </w:r>
    </w:p>
    <w:p w14:paraId="45D447BF" w14:textId="0DB115DD" w:rsidR="00B51568" w:rsidRPr="00770693" w:rsidRDefault="00B51568" w:rsidP="00BF676F">
      <w:pPr>
        <w:pStyle w:val="Prrafodelista"/>
        <w:numPr>
          <w:ilvl w:val="0"/>
          <w:numId w:val="2"/>
        </w:numPr>
        <w:spacing w:before="120" w:after="120" w:line="259" w:lineRule="auto"/>
        <w:contextualSpacing w:val="0"/>
        <w:jc w:val="both"/>
        <w:rPr>
          <w:rFonts w:ascii="Poppins" w:hAnsi="Poppins" w:cs="Poppins"/>
          <w:sz w:val="18"/>
          <w:szCs w:val="18"/>
        </w:rPr>
      </w:pPr>
      <w:r w:rsidRPr="00770693">
        <w:rPr>
          <w:rFonts w:ascii="Poppins" w:hAnsi="Poppins" w:cs="Poppins"/>
          <w:b/>
          <w:bCs/>
          <w:sz w:val="18"/>
          <w:szCs w:val="18"/>
        </w:rPr>
        <w:t xml:space="preserve">Ambición en </w:t>
      </w:r>
      <w:r w:rsidR="00E74DB0">
        <w:rPr>
          <w:rFonts w:ascii="Poppins" w:hAnsi="Poppins" w:cs="Poppins"/>
          <w:b/>
          <w:bCs/>
          <w:sz w:val="18"/>
          <w:szCs w:val="18"/>
        </w:rPr>
        <w:t>e</w:t>
      </w:r>
      <w:r w:rsidRPr="00770693">
        <w:rPr>
          <w:rFonts w:ascii="Poppins" w:hAnsi="Poppins" w:cs="Poppins"/>
          <w:b/>
          <w:bCs/>
          <w:sz w:val="18"/>
          <w:szCs w:val="18"/>
        </w:rPr>
        <w:t xml:space="preserve">ficiencia de </w:t>
      </w:r>
      <w:r w:rsidR="00E74DB0">
        <w:rPr>
          <w:rFonts w:ascii="Poppins" w:hAnsi="Poppins" w:cs="Poppins"/>
          <w:b/>
          <w:bCs/>
          <w:sz w:val="18"/>
          <w:szCs w:val="18"/>
        </w:rPr>
        <w:t>e</w:t>
      </w:r>
      <w:r w:rsidRPr="00770693">
        <w:rPr>
          <w:rFonts w:ascii="Poppins" w:hAnsi="Poppins" w:cs="Poppins"/>
          <w:b/>
          <w:bCs/>
          <w:sz w:val="18"/>
          <w:szCs w:val="18"/>
        </w:rPr>
        <w:t>dificios</w:t>
      </w:r>
      <w:r w:rsidRPr="00770693">
        <w:rPr>
          <w:rFonts w:ascii="Poppins" w:hAnsi="Poppins" w:cs="Poppins"/>
          <w:sz w:val="18"/>
          <w:szCs w:val="18"/>
        </w:rPr>
        <w:t xml:space="preserve">: </w:t>
      </w:r>
      <w:r w:rsidR="00E74DB0">
        <w:rPr>
          <w:rFonts w:ascii="Poppins" w:hAnsi="Poppins" w:cs="Poppins"/>
          <w:sz w:val="18"/>
          <w:szCs w:val="18"/>
        </w:rPr>
        <w:t>a</w:t>
      </w:r>
      <w:r w:rsidRPr="00770693">
        <w:rPr>
          <w:rFonts w:ascii="Poppins" w:hAnsi="Poppins" w:cs="Poppins"/>
          <w:sz w:val="18"/>
          <w:szCs w:val="18"/>
        </w:rPr>
        <w:t>ctualizar el nivel de ambición para lograr un parque de edificios altamente eficiente</w:t>
      </w:r>
      <w:r w:rsidR="00E74DB0">
        <w:rPr>
          <w:rFonts w:ascii="Poppins" w:hAnsi="Poppins" w:cs="Poppins"/>
          <w:sz w:val="18"/>
          <w:szCs w:val="18"/>
        </w:rPr>
        <w:t>s</w:t>
      </w:r>
      <w:r w:rsidRPr="00770693">
        <w:rPr>
          <w:rFonts w:ascii="Poppins" w:hAnsi="Poppins" w:cs="Poppins"/>
          <w:sz w:val="18"/>
          <w:szCs w:val="18"/>
        </w:rPr>
        <w:t xml:space="preserve"> en energía y descarbonizado</w:t>
      </w:r>
      <w:r w:rsidR="00E74DB0">
        <w:rPr>
          <w:rFonts w:ascii="Poppins" w:hAnsi="Poppins" w:cs="Poppins"/>
          <w:sz w:val="18"/>
          <w:szCs w:val="18"/>
        </w:rPr>
        <w:t>s</w:t>
      </w:r>
      <w:r w:rsidRPr="00770693">
        <w:rPr>
          <w:rFonts w:ascii="Poppins" w:hAnsi="Poppins" w:cs="Poppins"/>
          <w:sz w:val="18"/>
          <w:szCs w:val="18"/>
        </w:rPr>
        <w:t>, con hitos intermedios para 2030 y 2040.</w:t>
      </w:r>
    </w:p>
    <w:p w14:paraId="7BD13C6E" w14:textId="77777777" w:rsidR="00B51568" w:rsidRPr="00770693" w:rsidRDefault="00B51568" w:rsidP="00BF676F">
      <w:pPr>
        <w:spacing w:before="120" w:after="120"/>
        <w:rPr>
          <w:rFonts w:cs="Poppins"/>
          <w:sz w:val="18"/>
          <w:szCs w:val="18"/>
        </w:rPr>
      </w:pPr>
      <w:r w:rsidRPr="00770693">
        <w:rPr>
          <w:rFonts w:cs="Poppins"/>
          <w:sz w:val="18"/>
          <w:szCs w:val="18"/>
        </w:rPr>
        <w:t>En cuanto a la coherencia de las medidas nacionales con el objetivo de neutralidad climática y con el avance en adaptación bajo el Reglamento (UE) 2021/1119, recomienda:</w:t>
      </w:r>
    </w:p>
    <w:p w14:paraId="25084432" w14:textId="5DA08963" w:rsidR="00B51568" w:rsidRPr="00770693" w:rsidRDefault="00B51568" w:rsidP="00BF676F">
      <w:pPr>
        <w:pStyle w:val="Prrafodelista"/>
        <w:numPr>
          <w:ilvl w:val="0"/>
          <w:numId w:val="1"/>
        </w:numPr>
        <w:spacing w:before="120" w:after="120" w:line="259" w:lineRule="auto"/>
        <w:contextualSpacing w:val="0"/>
        <w:jc w:val="both"/>
        <w:rPr>
          <w:rFonts w:ascii="Poppins" w:hAnsi="Poppins" w:cs="Poppins"/>
          <w:sz w:val="18"/>
          <w:szCs w:val="18"/>
        </w:rPr>
      </w:pPr>
      <w:r w:rsidRPr="00770693">
        <w:rPr>
          <w:rFonts w:ascii="Poppins" w:hAnsi="Poppins" w:cs="Poppins"/>
          <w:sz w:val="18"/>
          <w:szCs w:val="18"/>
        </w:rPr>
        <w:t>Integrar consideraciones de adaptación climática en sectores clave vulnerables y abordar brechas y barreras para la adaptación</w:t>
      </w:r>
      <w:r w:rsidR="00E74DB0">
        <w:rPr>
          <w:rFonts w:ascii="Poppins" w:hAnsi="Poppins" w:cs="Poppins"/>
          <w:sz w:val="18"/>
          <w:szCs w:val="18"/>
        </w:rPr>
        <w:t xml:space="preserve">. </w:t>
      </w:r>
    </w:p>
    <w:p w14:paraId="492CEBEF" w14:textId="070B5E4E" w:rsidR="00B51568" w:rsidRPr="00770693" w:rsidRDefault="00B51568" w:rsidP="00BF676F">
      <w:pPr>
        <w:pStyle w:val="Prrafodelista"/>
        <w:numPr>
          <w:ilvl w:val="0"/>
          <w:numId w:val="1"/>
        </w:numPr>
        <w:spacing w:before="120" w:after="120" w:line="259" w:lineRule="auto"/>
        <w:contextualSpacing w:val="0"/>
        <w:jc w:val="both"/>
        <w:rPr>
          <w:rFonts w:ascii="Poppins" w:hAnsi="Poppins" w:cs="Poppins"/>
          <w:sz w:val="18"/>
          <w:szCs w:val="18"/>
        </w:rPr>
      </w:pPr>
      <w:r w:rsidRPr="009C03DD">
        <w:rPr>
          <w:rFonts w:ascii="Poppins" w:hAnsi="Poppins" w:cs="Poppins"/>
          <w:sz w:val="18"/>
          <w:szCs w:val="18"/>
        </w:rPr>
        <w:t>Involucrar a grupos de partes interesadas particularmente vulnerables a los impactos del cambio climático en el diseño e implementación de la política de adaptación de España</w:t>
      </w:r>
      <w:r w:rsidR="00E74DB0">
        <w:rPr>
          <w:rFonts w:ascii="Poppins" w:hAnsi="Poppins" w:cs="Poppins"/>
          <w:sz w:val="18"/>
          <w:szCs w:val="18"/>
        </w:rPr>
        <w:t xml:space="preserve">. </w:t>
      </w:r>
    </w:p>
    <w:sectPr w:rsidR="00B51568" w:rsidRPr="00770693" w:rsidSect="00FF6F4D">
      <w:headerReference w:type="default" r:id="rId9"/>
      <w:footerReference w:type="default" r:id="rId10"/>
      <w:pgSz w:w="11900" w:h="16840"/>
      <w:pgMar w:top="1560" w:right="1361" w:bottom="1418" w:left="136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C2B5" w14:textId="77777777" w:rsidR="00732F88" w:rsidRDefault="00732F88" w:rsidP="00B12415">
      <w:r>
        <w:separator/>
      </w:r>
    </w:p>
  </w:endnote>
  <w:endnote w:type="continuationSeparator" w:id="0">
    <w:p w14:paraId="2C3E3470" w14:textId="77777777" w:rsidR="00732F88" w:rsidRDefault="00732F88" w:rsidP="00B1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sz w:val="16"/>
        <w:szCs w:val="16"/>
      </w:rPr>
      <w:id w:val="-1424715605"/>
      <w:docPartObj>
        <w:docPartGallery w:val="Page Numbers (Bottom of Page)"/>
        <w:docPartUnique/>
      </w:docPartObj>
    </w:sdtPr>
    <w:sdtEndPr/>
    <w:sdtContent>
      <w:p w14:paraId="670537AB" w14:textId="79413492" w:rsidR="00273060" w:rsidRPr="00B6661C" w:rsidRDefault="00273060">
        <w:pPr>
          <w:pStyle w:val="Piedepgina"/>
          <w:jc w:val="right"/>
          <w:rPr>
            <w:rFonts w:ascii="Poppins" w:hAnsi="Poppins" w:cs="Poppins"/>
            <w:sz w:val="16"/>
            <w:szCs w:val="16"/>
          </w:rPr>
        </w:pPr>
        <w:r w:rsidRPr="00B6661C">
          <w:rPr>
            <w:rFonts w:ascii="Poppins" w:hAnsi="Poppins" w:cs="Poppins"/>
            <w:sz w:val="16"/>
            <w:szCs w:val="16"/>
          </w:rPr>
          <w:fldChar w:fldCharType="begin"/>
        </w:r>
        <w:r w:rsidRPr="00B6661C">
          <w:rPr>
            <w:rFonts w:ascii="Poppins" w:hAnsi="Poppins" w:cs="Poppins"/>
            <w:sz w:val="16"/>
            <w:szCs w:val="16"/>
          </w:rPr>
          <w:instrText>PAGE   \* MERGEFORMAT</w:instrText>
        </w:r>
        <w:r w:rsidRPr="00B6661C">
          <w:rPr>
            <w:rFonts w:ascii="Poppins" w:hAnsi="Poppins" w:cs="Poppins"/>
            <w:sz w:val="16"/>
            <w:szCs w:val="16"/>
          </w:rPr>
          <w:fldChar w:fldCharType="separate"/>
        </w:r>
        <w:r w:rsidRPr="00B6661C">
          <w:rPr>
            <w:rFonts w:ascii="Poppins" w:hAnsi="Poppins" w:cs="Poppins"/>
            <w:sz w:val="16"/>
            <w:szCs w:val="16"/>
          </w:rPr>
          <w:t>2</w:t>
        </w:r>
        <w:r w:rsidRPr="00B6661C">
          <w:rPr>
            <w:rFonts w:ascii="Poppins" w:hAnsi="Poppins" w:cs="Poppins"/>
            <w:sz w:val="16"/>
            <w:szCs w:val="16"/>
          </w:rPr>
          <w:fldChar w:fldCharType="end"/>
        </w:r>
      </w:p>
    </w:sdtContent>
  </w:sdt>
  <w:p w14:paraId="0B6F5388" w14:textId="77777777" w:rsidR="00273060" w:rsidRDefault="002730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290A" w14:textId="77777777" w:rsidR="00732F88" w:rsidRDefault="00732F88" w:rsidP="00B12415">
      <w:r>
        <w:separator/>
      </w:r>
    </w:p>
  </w:footnote>
  <w:footnote w:type="continuationSeparator" w:id="0">
    <w:p w14:paraId="3D6F1F73" w14:textId="77777777" w:rsidR="00732F88" w:rsidRDefault="00732F88" w:rsidP="00B1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49DF" w14:textId="58A43894" w:rsidR="00E568CB" w:rsidRDefault="00E568CB" w:rsidP="00E568CB">
    <w:pPr>
      <w:pStyle w:val="Encabezado"/>
      <w:jc w:val="right"/>
    </w:pPr>
    <w:r>
      <w:rPr>
        <w:noProof/>
      </w:rPr>
      <w:drawing>
        <wp:anchor distT="0" distB="0" distL="114300" distR="114300" simplePos="0" relativeHeight="251662336" behindDoc="0" locked="0" layoutInCell="1" allowOverlap="1" wp14:anchorId="69DD9624" wp14:editId="68BBDFEE">
          <wp:simplePos x="0" y="0"/>
          <wp:positionH relativeFrom="column">
            <wp:posOffset>-423968</wp:posOffset>
          </wp:positionH>
          <wp:positionV relativeFrom="paragraph">
            <wp:posOffset>-148379</wp:posOffset>
          </wp:positionV>
          <wp:extent cx="1899920" cy="57531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rotWithShape="1">
                  <a:blip r:embed="rId1">
                    <a:extLst>
                      <a:ext uri="{28A0092B-C50C-407E-A947-70E740481C1C}">
                        <a14:useLocalDpi xmlns:a14="http://schemas.microsoft.com/office/drawing/2010/main" val="0"/>
                      </a:ext>
                    </a:extLst>
                  </a:blip>
                  <a:srcRect l="5671" t="33459" r="2079" b="38594"/>
                  <a:stretch/>
                </pic:blipFill>
                <pic:spPr bwMode="auto">
                  <a:xfrm>
                    <a:off x="0" y="0"/>
                    <a:ext cx="1899920" cy="575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068268BB" wp14:editId="6E1D8250">
              <wp:simplePos x="0" y="0"/>
              <wp:positionH relativeFrom="page">
                <wp:align>right</wp:align>
              </wp:positionH>
              <wp:positionV relativeFrom="paragraph">
                <wp:posOffset>-361315</wp:posOffset>
              </wp:positionV>
              <wp:extent cx="688975" cy="495300"/>
              <wp:effectExtent l="0" t="0" r="15875" b="19050"/>
              <wp:wrapSquare wrapText="bothSides"/>
              <wp:docPr id="18" name="Rectángulo 18"/>
              <wp:cNvGraphicFramePr/>
              <a:graphic xmlns:a="http://schemas.openxmlformats.org/drawingml/2006/main">
                <a:graphicData uri="http://schemas.microsoft.com/office/word/2010/wordprocessingShape">
                  <wps:wsp>
                    <wps:cNvSpPr/>
                    <wps:spPr>
                      <a:xfrm>
                        <a:off x="0" y="0"/>
                        <a:ext cx="688975" cy="495300"/>
                      </a:xfrm>
                      <a:prstGeom prst="rect">
                        <a:avLst/>
                      </a:prstGeom>
                      <a:solidFill>
                        <a:srgbClr val="64A517"/>
                      </a:solidFill>
                      <a:ln w="12700" cap="flat" cmpd="sng" algn="ctr">
                        <a:solidFill>
                          <a:srgbClr val="63962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982C" id="Rectángulo 18" o:spid="_x0000_s1026" style="position:absolute;margin-left:3.05pt;margin-top:-28.45pt;width:54.25pt;height:39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6YWQIAAMoEAAAOAAAAZHJzL2Uyb0RvYy54bWysVEtvGjEQvlfqf7B8LwuEt7JEKFGqSlGC&#10;RKqcjddmLfnVsWGhv75j7xKSNKeqHMyM5/35m72+ORpNDgKCcrakg16fEmG5q5TdlfTn8/23GSUh&#10;Mlsx7awo6UkEerP8+uW68QsxdLXTlQCCSWxYNL6kdYx+URSB18Kw0HNeWDRKB4ZFVGFXVMAazG50&#10;Mez3J0XjoPLguAgBb+9aI13m/FIKHp+kDCISXVLsLeYT8rlNZ7G8ZosdMF8r3rXB/qELw5TFoq+p&#10;7lhkZA/qr1RGcXDBydjjzhROSsVFngGnGfQ/TLOpmRd5FgQn+FeYwv9Lyx8PG78GhKHxYRFQTFMc&#10;JZj0j/2RYwbr9AqWOEbC8XIym82nY0o4mkbz8VU/g1lcgj2E+F04Q5JQUsC3yBCxw0OIWBBdzy6p&#10;VnBaVfdK66zAbnurgRwYvttktBoPpumpMOSdm7akQdYNp1iccIb8kZpFFI2vShrsjhKmd0hMHiHX&#10;fhcd3hW5mk+Gq8+KpCbvWKjbZnKGljZGReSuVqaks376ddHaphFEZl836gXcJG1ddVoDAdfSMXh+&#10;r7DIAwtxzQD5h9PgTsUnPKR2OKLrJEpqB78/u0/+SAu0UtIgn3H8X3sGghL9wyJh5oPRKC1AVkbj&#10;6RAVeGvZvrXYvbl1CP0At9fzLCb/qM+iBGdecPVWqSqamOVYuwW6U25ju2e4vFysVtkNSe9ZfLAb&#10;z1PyhFOC9/n4wsB3RInIsEd35j5bfOBL65sirVvto5Mqk+mCK9IkKbgwmTDdcqeNfKtnr8snaPkH&#10;AAD//wMAUEsDBBQABgAIAAAAIQBxdDQI3QAAAAcBAAAPAAAAZHJzL2Rvd25yZXYueG1sTI/LbsIw&#10;EEX3lfgHayp1B06i8mgaB/WFumAFVGU7xNMkIh6H2IT072tWZTm6V+eeyZaDaURPnastK4gnEQji&#10;wuqaSwVfu9V4AcJ5ZI2NZVLwSw6W+eguw1TbC2+o3/pSBAi7FBVU3replK6oyKCb2JY4ZD+2M+jD&#10;2ZVSd3gJcNPIJIpm0mDNYaHClt4qKo7bswmU9/UnbjhZnfrXj/037e1pvn5U6uF+eHkG4Wnw/2W4&#10;6gd1yIPTwZ5ZO9EoCI94BePp7AnENY4WUxAHBUkcg8wzeeuf/wEAAP//AwBQSwECLQAUAAYACAAA&#10;ACEAtoM4kv4AAADhAQAAEwAAAAAAAAAAAAAAAAAAAAAAW0NvbnRlbnRfVHlwZXNdLnhtbFBLAQIt&#10;ABQABgAIAAAAIQA4/SH/1gAAAJQBAAALAAAAAAAAAAAAAAAAAC8BAABfcmVscy8ucmVsc1BLAQIt&#10;ABQABgAIAAAAIQAsMD6YWQIAAMoEAAAOAAAAAAAAAAAAAAAAAC4CAABkcnMvZTJvRG9jLnhtbFBL&#10;AQItABQABgAIAAAAIQBxdDQI3QAAAAcBAAAPAAAAAAAAAAAAAAAAALMEAABkcnMvZG93bnJldi54&#10;bWxQSwUGAAAAAAQABADzAAAAvQUAAAAA&#10;" fillcolor="#64a517" strokecolor="#63962a" strokeweight="1pt">
              <w10:wrap type="square" anchorx="page"/>
            </v:rect>
          </w:pict>
        </mc:Fallback>
      </mc:AlternateContent>
    </w:r>
  </w:p>
  <w:p w14:paraId="6D2E6733" w14:textId="29089185" w:rsidR="00273060" w:rsidRPr="00B6661C" w:rsidRDefault="00B6661C" w:rsidP="00502016">
    <w:pPr>
      <w:pStyle w:val="Encabezado"/>
      <w:jc w:val="right"/>
      <w:rPr>
        <w:rFonts w:ascii="Poppins" w:hAnsi="Poppins" w:cs="Poppins"/>
        <w:sz w:val="16"/>
        <w:szCs w:val="16"/>
      </w:rPr>
    </w:pPr>
    <w:r w:rsidRPr="00B6661C">
      <w:rPr>
        <w:rFonts w:ascii="Poppins" w:hAnsi="Poppins" w:cs="Poppins"/>
        <w:sz w:val="16"/>
        <w:szCs w:val="16"/>
      </w:rPr>
      <w:t>22</w:t>
    </w:r>
    <w:r w:rsidR="00337C64" w:rsidRPr="00B6661C">
      <w:rPr>
        <w:rFonts w:ascii="Poppins" w:hAnsi="Poppins" w:cs="Poppins"/>
        <w:sz w:val="16"/>
        <w:szCs w:val="16"/>
      </w:rPr>
      <w:t xml:space="preserve"> </w:t>
    </w:r>
    <w:r w:rsidR="00E568CB" w:rsidRPr="00B6661C">
      <w:rPr>
        <w:rFonts w:ascii="Poppins" w:hAnsi="Poppins" w:cs="Poppins"/>
        <w:sz w:val="16"/>
        <w:szCs w:val="16"/>
      </w:rPr>
      <w:t xml:space="preserve">de </w:t>
    </w:r>
    <w:r w:rsidRPr="00B6661C">
      <w:rPr>
        <w:rFonts w:ascii="Poppins" w:hAnsi="Poppins" w:cs="Poppins"/>
        <w:sz w:val="16"/>
        <w:szCs w:val="16"/>
      </w:rPr>
      <w:t>diciembre</w:t>
    </w:r>
    <w:r w:rsidR="00E568CB" w:rsidRPr="00B6661C">
      <w:rPr>
        <w:rFonts w:ascii="Poppins" w:hAnsi="Poppins" w:cs="Poppins"/>
        <w:sz w:val="16"/>
        <w:szCs w:val="16"/>
      </w:rPr>
      <w:t xml:space="preserve"> de 202</w:t>
    </w:r>
    <w:r w:rsidRPr="00B6661C">
      <w:rPr>
        <w:rFonts w:ascii="Poppins" w:hAnsi="Poppins" w:cs="Poppin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2CE"/>
    <w:multiLevelType w:val="hybridMultilevel"/>
    <w:tmpl w:val="42C02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3627C8"/>
    <w:multiLevelType w:val="hybridMultilevel"/>
    <w:tmpl w:val="1F740A1A"/>
    <w:lvl w:ilvl="0" w:tplc="FD24FB92">
      <w:start w:val="1"/>
      <w:numFmt w:val="bullet"/>
      <w:lvlText w:val=""/>
      <w:lvlJc w:val="left"/>
      <w:pPr>
        <w:ind w:left="720" w:hanging="360"/>
      </w:pPr>
      <w:rPr>
        <w:rFonts w:ascii="Symbol" w:hAnsi="Symbol" w:hint="default"/>
        <w:color w:val="70AD47"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90256E"/>
    <w:multiLevelType w:val="hybridMultilevel"/>
    <w:tmpl w:val="5CBC0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4596729">
    <w:abstractNumId w:val="2"/>
  </w:num>
  <w:num w:numId="2" w16cid:durableId="1318804386">
    <w:abstractNumId w:val="0"/>
  </w:num>
  <w:num w:numId="3" w16cid:durableId="182218758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15"/>
    <w:rsid w:val="00001EEF"/>
    <w:rsid w:val="00011B89"/>
    <w:rsid w:val="00012C42"/>
    <w:rsid w:val="00015731"/>
    <w:rsid w:val="00032A86"/>
    <w:rsid w:val="0003764A"/>
    <w:rsid w:val="00057889"/>
    <w:rsid w:val="000A0585"/>
    <w:rsid w:val="000D235A"/>
    <w:rsid w:val="000D5B12"/>
    <w:rsid w:val="000E2C40"/>
    <w:rsid w:val="00101F73"/>
    <w:rsid w:val="00126ACA"/>
    <w:rsid w:val="00132C07"/>
    <w:rsid w:val="0015047C"/>
    <w:rsid w:val="00172A9C"/>
    <w:rsid w:val="001A6EDB"/>
    <w:rsid w:val="001B2FE7"/>
    <w:rsid w:val="00223DF7"/>
    <w:rsid w:val="0024486E"/>
    <w:rsid w:val="00257100"/>
    <w:rsid w:val="002663E5"/>
    <w:rsid w:val="00273060"/>
    <w:rsid w:val="002B0C4A"/>
    <w:rsid w:val="002D28E1"/>
    <w:rsid w:val="002E0EC3"/>
    <w:rsid w:val="002F00EA"/>
    <w:rsid w:val="00337C64"/>
    <w:rsid w:val="003635B9"/>
    <w:rsid w:val="00372CA6"/>
    <w:rsid w:val="003B3C7A"/>
    <w:rsid w:val="003C01F1"/>
    <w:rsid w:val="003C6285"/>
    <w:rsid w:val="003F47AE"/>
    <w:rsid w:val="00451A5C"/>
    <w:rsid w:val="00454AE9"/>
    <w:rsid w:val="0047421D"/>
    <w:rsid w:val="00493C66"/>
    <w:rsid w:val="004B23AA"/>
    <w:rsid w:val="00502016"/>
    <w:rsid w:val="0050749E"/>
    <w:rsid w:val="00574F8A"/>
    <w:rsid w:val="005905F8"/>
    <w:rsid w:val="005C6C86"/>
    <w:rsid w:val="005E3CA2"/>
    <w:rsid w:val="005F764E"/>
    <w:rsid w:val="00624903"/>
    <w:rsid w:val="0064106D"/>
    <w:rsid w:val="006423B2"/>
    <w:rsid w:val="006B4DC4"/>
    <w:rsid w:val="00732F88"/>
    <w:rsid w:val="00742082"/>
    <w:rsid w:val="007568F6"/>
    <w:rsid w:val="007B5D93"/>
    <w:rsid w:val="007D3043"/>
    <w:rsid w:val="00821A41"/>
    <w:rsid w:val="00823CA0"/>
    <w:rsid w:val="00826F93"/>
    <w:rsid w:val="00835952"/>
    <w:rsid w:val="00842D03"/>
    <w:rsid w:val="0085199F"/>
    <w:rsid w:val="00866463"/>
    <w:rsid w:val="008A294B"/>
    <w:rsid w:val="008B0952"/>
    <w:rsid w:val="008B4D37"/>
    <w:rsid w:val="008E50EF"/>
    <w:rsid w:val="00941850"/>
    <w:rsid w:val="009642A2"/>
    <w:rsid w:val="009760C4"/>
    <w:rsid w:val="00986028"/>
    <w:rsid w:val="009C03DD"/>
    <w:rsid w:val="009C0B73"/>
    <w:rsid w:val="009D0558"/>
    <w:rsid w:val="009F067C"/>
    <w:rsid w:val="00A46B32"/>
    <w:rsid w:val="00A54C17"/>
    <w:rsid w:val="00A577F8"/>
    <w:rsid w:val="00AD79AE"/>
    <w:rsid w:val="00AE32D2"/>
    <w:rsid w:val="00B12415"/>
    <w:rsid w:val="00B37DA9"/>
    <w:rsid w:val="00B47E14"/>
    <w:rsid w:val="00B51568"/>
    <w:rsid w:val="00B57637"/>
    <w:rsid w:val="00B6661C"/>
    <w:rsid w:val="00B76303"/>
    <w:rsid w:val="00BF12A7"/>
    <w:rsid w:val="00BF676F"/>
    <w:rsid w:val="00C178EF"/>
    <w:rsid w:val="00C35FD5"/>
    <w:rsid w:val="00CC1673"/>
    <w:rsid w:val="00CC6DAB"/>
    <w:rsid w:val="00CD07F4"/>
    <w:rsid w:val="00CE210B"/>
    <w:rsid w:val="00D437F7"/>
    <w:rsid w:val="00D57B41"/>
    <w:rsid w:val="00D6692B"/>
    <w:rsid w:val="00D82888"/>
    <w:rsid w:val="00D83E2D"/>
    <w:rsid w:val="00D879BF"/>
    <w:rsid w:val="00DB203F"/>
    <w:rsid w:val="00DE494D"/>
    <w:rsid w:val="00E06140"/>
    <w:rsid w:val="00E064F4"/>
    <w:rsid w:val="00E2090E"/>
    <w:rsid w:val="00E3491E"/>
    <w:rsid w:val="00E568CB"/>
    <w:rsid w:val="00E56C5E"/>
    <w:rsid w:val="00E74DB0"/>
    <w:rsid w:val="00E83465"/>
    <w:rsid w:val="00EC24CD"/>
    <w:rsid w:val="00EC3EB3"/>
    <w:rsid w:val="00EC72F0"/>
    <w:rsid w:val="00ED28A1"/>
    <w:rsid w:val="00EF7E69"/>
    <w:rsid w:val="00F63F91"/>
    <w:rsid w:val="00F71DCE"/>
    <w:rsid w:val="00F86BF5"/>
    <w:rsid w:val="00F91BC5"/>
    <w:rsid w:val="00FB42B6"/>
    <w:rsid w:val="00FC3309"/>
    <w:rsid w:val="00FC6D92"/>
    <w:rsid w:val="00FF6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89FA6"/>
  <w15:chartTrackingRefBased/>
  <w15:docId w15:val="{F74A3B1E-7FC0-2B40-A4A0-D7EA51DE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5E"/>
    <w:pPr>
      <w:jc w:val="both"/>
    </w:pPr>
    <w:rPr>
      <w:rFonts w:ascii="Poppins" w:hAnsi="Poppins"/>
      <w:szCs w:val="24"/>
      <w:lang w:eastAsia="en-US"/>
    </w:rPr>
  </w:style>
  <w:style w:type="paragraph" w:styleId="Ttulo1">
    <w:name w:val="heading 1"/>
    <w:basedOn w:val="Normal"/>
    <w:link w:val="Ttulo1Car"/>
    <w:uiPriority w:val="9"/>
    <w:qFormat/>
    <w:rsid w:val="00574F8A"/>
    <w:pPr>
      <w:keepNext/>
      <w:spacing w:before="240"/>
      <w:jc w:val="left"/>
      <w:outlineLvl w:val="0"/>
    </w:pPr>
    <w:rPr>
      <w:rFonts w:ascii="Calibri Light" w:eastAsiaTheme="minorHAnsi" w:hAnsi="Calibri Light" w:cs="Calibri Light"/>
      <w:color w:val="2F5496"/>
      <w:kern w:val="36"/>
      <w:sz w:val="32"/>
      <w:szCs w:val="32"/>
    </w:rPr>
  </w:style>
  <w:style w:type="paragraph" w:styleId="Ttulo2">
    <w:name w:val="heading 2"/>
    <w:basedOn w:val="Normal"/>
    <w:next w:val="Normal"/>
    <w:link w:val="Ttulo2Car"/>
    <w:uiPriority w:val="9"/>
    <w:unhideWhenUsed/>
    <w:qFormat/>
    <w:rsid w:val="00574F8A"/>
    <w:pPr>
      <w:keepNext/>
      <w:keepLines/>
      <w:spacing w:before="40" w:line="256" w:lineRule="auto"/>
      <w:jc w:val="left"/>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A058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4F8A"/>
    <w:rPr>
      <w:rFonts w:ascii="Calibri Light" w:eastAsiaTheme="minorHAnsi" w:hAnsi="Calibri Light" w:cs="Calibri Light"/>
      <w:color w:val="2F5496"/>
      <w:kern w:val="36"/>
      <w:sz w:val="32"/>
      <w:szCs w:val="32"/>
      <w:lang w:eastAsia="en-US"/>
    </w:rPr>
  </w:style>
  <w:style w:type="character" w:customStyle="1" w:styleId="Ttulo2Car">
    <w:name w:val="Título 2 Car"/>
    <w:basedOn w:val="Fuentedeprrafopredeter"/>
    <w:link w:val="Ttulo2"/>
    <w:uiPriority w:val="9"/>
    <w:rsid w:val="00574F8A"/>
    <w:rPr>
      <w:rFonts w:asciiTheme="majorHAnsi" w:eastAsiaTheme="majorEastAsia" w:hAnsiTheme="majorHAnsi" w:cstheme="majorBidi"/>
      <w:color w:val="2F5496" w:themeColor="accent1" w:themeShade="BF"/>
      <w:sz w:val="26"/>
      <w:szCs w:val="26"/>
      <w:lang w:eastAsia="en-US"/>
    </w:rPr>
  </w:style>
  <w:style w:type="character" w:styleId="Hipervnculo">
    <w:name w:val="Hyperlink"/>
    <w:uiPriority w:val="99"/>
    <w:unhideWhenUsed/>
    <w:rsid w:val="00E06140"/>
    <w:rPr>
      <w:color w:val="00A6CE"/>
      <w:u w:val="single"/>
    </w:rPr>
  </w:style>
  <w:style w:type="paragraph" w:styleId="Encabezado">
    <w:name w:val="header"/>
    <w:basedOn w:val="Normal"/>
    <w:link w:val="EncabezadoCar"/>
    <w:uiPriority w:val="99"/>
    <w:unhideWhenUsed/>
    <w:rsid w:val="00B12415"/>
    <w:pPr>
      <w:tabs>
        <w:tab w:val="center" w:pos="4252"/>
        <w:tab w:val="right" w:pos="8504"/>
      </w:tabs>
      <w:jc w:val="left"/>
    </w:pPr>
    <w:rPr>
      <w:rFonts w:ascii="Calibri" w:hAnsi="Calibri"/>
      <w:sz w:val="24"/>
    </w:rPr>
  </w:style>
  <w:style w:type="character" w:customStyle="1" w:styleId="EncabezadoCar">
    <w:name w:val="Encabezado Car"/>
    <w:basedOn w:val="Fuentedeprrafopredeter"/>
    <w:link w:val="Encabezado"/>
    <w:uiPriority w:val="99"/>
    <w:rsid w:val="00B12415"/>
  </w:style>
  <w:style w:type="paragraph" w:styleId="Piedepgina">
    <w:name w:val="footer"/>
    <w:basedOn w:val="Normal"/>
    <w:link w:val="PiedepginaCar"/>
    <w:uiPriority w:val="99"/>
    <w:unhideWhenUsed/>
    <w:rsid w:val="00B12415"/>
    <w:pPr>
      <w:tabs>
        <w:tab w:val="center" w:pos="4252"/>
        <w:tab w:val="right" w:pos="8504"/>
      </w:tabs>
      <w:jc w:val="left"/>
    </w:pPr>
    <w:rPr>
      <w:rFonts w:ascii="Calibri" w:hAnsi="Calibri"/>
      <w:sz w:val="24"/>
    </w:rPr>
  </w:style>
  <w:style w:type="character" w:customStyle="1" w:styleId="PiedepginaCar">
    <w:name w:val="Pie de página Car"/>
    <w:basedOn w:val="Fuentedeprrafopredeter"/>
    <w:link w:val="Piedepgina"/>
    <w:uiPriority w:val="99"/>
    <w:rsid w:val="00B12415"/>
  </w:style>
  <w:style w:type="paragraph" w:styleId="Sinespaciado">
    <w:name w:val="No Spacing"/>
    <w:link w:val="SinespaciadoCar"/>
    <w:uiPriority w:val="1"/>
    <w:qFormat/>
    <w:rsid w:val="003F47AE"/>
    <w:rPr>
      <w:rFonts w:eastAsia="Times New Roman"/>
      <w:sz w:val="22"/>
      <w:szCs w:val="22"/>
      <w:lang w:val="en-US" w:eastAsia="zh-CN"/>
    </w:rPr>
  </w:style>
  <w:style w:type="character" w:customStyle="1" w:styleId="SinespaciadoCar">
    <w:name w:val="Sin espaciado Car"/>
    <w:link w:val="Sinespaciado"/>
    <w:uiPriority w:val="1"/>
    <w:rsid w:val="003F47AE"/>
    <w:rPr>
      <w:rFonts w:eastAsia="Times New Roman"/>
      <w:sz w:val="22"/>
      <w:szCs w:val="22"/>
      <w:lang w:val="en-US" w:eastAsia="zh-CN"/>
    </w:rPr>
  </w:style>
  <w:style w:type="paragraph" w:customStyle="1" w:styleId="msonormal0">
    <w:name w:val="msonormal"/>
    <w:basedOn w:val="Normal"/>
    <w:uiPriority w:val="99"/>
    <w:rsid w:val="00574F8A"/>
    <w:pPr>
      <w:spacing w:before="100" w:beforeAutospacing="1" w:after="100" w:afterAutospacing="1"/>
      <w:jc w:val="left"/>
    </w:pPr>
    <w:rPr>
      <w:rFonts w:ascii="Calibri" w:eastAsia="Times New Roman" w:hAnsi="Calibri" w:cs="Calibri"/>
      <w:sz w:val="22"/>
      <w:szCs w:val="22"/>
      <w:lang w:eastAsia="es-ES"/>
    </w:rPr>
  </w:style>
  <w:style w:type="paragraph" w:styleId="TDC1">
    <w:name w:val="toc 1"/>
    <w:basedOn w:val="Normal"/>
    <w:next w:val="Normal"/>
    <w:autoRedefine/>
    <w:uiPriority w:val="39"/>
    <w:unhideWhenUsed/>
    <w:rsid w:val="00574F8A"/>
    <w:pPr>
      <w:spacing w:after="100" w:line="256" w:lineRule="auto"/>
      <w:jc w:val="left"/>
    </w:pPr>
    <w:rPr>
      <w:rFonts w:asciiTheme="minorHAnsi" w:eastAsiaTheme="minorHAnsi" w:hAnsiTheme="minorHAnsi" w:cstheme="minorBidi"/>
      <w:sz w:val="22"/>
      <w:szCs w:val="22"/>
    </w:rPr>
  </w:style>
  <w:style w:type="paragraph" w:styleId="TDC2">
    <w:name w:val="toc 2"/>
    <w:basedOn w:val="Normal"/>
    <w:next w:val="Normal"/>
    <w:autoRedefine/>
    <w:uiPriority w:val="39"/>
    <w:unhideWhenUsed/>
    <w:rsid w:val="001A6EDB"/>
    <w:pPr>
      <w:tabs>
        <w:tab w:val="left" w:pos="660"/>
        <w:tab w:val="right" w:leader="dot" w:pos="9168"/>
      </w:tabs>
      <w:spacing w:after="100" w:line="256" w:lineRule="auto"/>
      <w:ind w:left="220"/>
      <w:jc w:val="left"/>
    </w:pPr>
    <w:rPr>
      <w:rFonts w:eastAsiaTheme="minorHAnsi" w:cs="Poppins"/>
      <w:noProof/>
      <w:sz w:val="22"/>
      <w:szCs w:val="22"/>
    </w:rPr>
  </w:style>
  <w:style w:type="paragraph" w:styleId="Textodeglobo">
    <w:name w:val="Balloon Text"/>
    <w:basedOn w:val="Normal"/>
    <w:link w:val="TextodegloboCar"/>
    <w:uiPriority w:val="99"/>
    <w:semiHidden/>
    <w:unhideWhenUsed/>
    <w:rsid w:val="00574F8A"/>
    <w:pPr>
      <w:jc w:val="left"/>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574F8A"/>
    <w:rPr>
      <w:rFonts w:ascii="Segoe UI" w:eastAsiaTheme="minorHAnsi" w:hAnsi="Segoe UI" w:cs="Segoe UI"/>
      <w:sz w:val="18"/>
      <w:szCs w:val="18"/>
      <w:lang w:eastAsia="en-US"/>
    </w:rPr>
  </w:style>
  <w:style w:type="paragraph" w:styleId="Prrafodelista">
    <w:name w:val="List Paragraph"/>
    <w:basedOn w:val="Normal"/>
    <w:uiPriority w:val="34"/>
    <w:qFormat/>
    <w:rsid w:val="00574F8A"/>
    <w:pPr>
      <w:spacing w:after="160" w:line="256" w:lineRule="auto"/>
      <w:ind w:left="720"/>
      <w:contextualSpacing/>
      <w:jc w:val="left"/>
    </w:pPr>
    <w:rPr>
      <w:rFonts w:asciiTheme="minorHAnsi" w:eastAsiaTheme="minorHAnsi" w:hAnsiTheme="minorHAnsi" w:cstheme="minorBidi"/>
      <w:sz w:val="22"/>
      <w:szCs w:val="22"/>
    </w:rPr>
  </w:style>
  <w:style w:type="paragraph" w:styleId="TtuloTDC">
    <w:name w:val="TOC Heading"/>
    <w:basedOn w:val="Ttulo1"/>
    <w:next w:val="Normal"/>
    <w:uiPriority w:val="39"/>
    <w:unhideWhenUsed/>
    <w:qFormat/>
    <w:rsid w:val="00574F8A"/>
    <w:pPr>
      <w:keepLines/>
      <w:spacing w:line="256" w:lineRule="auto"/>
      <w:outlineLvl w:val="9"/>
    </w:pPr>
    <w:rPr>
      <w:rFonts w:asciiTheme="majorHAnsi" w:eastAsiaTheme="majorEastAsia" w:hAnsiTheme="majorHAnsi" w:cstheme="majorBidi"/>
      <w:color w:val="2F5496" w:themeColor="accent1" w:themeShade="BF"/>
      <w:kern w:val="0"/>
      <w:lang w:eastAsia="es-ES"/>
    </w:rPr>
  </w:style>
  <w:style w:type="character" w:customStyle="1" w:styleId="Cuerpodeltexto">
    <w:name w:val="Cuerpo del texto_"/>
    <w:basedOn w:val="Fuentedeprrafopredeter"/>
    <w:link w:val="Cuerpodeltexto0"/>
    <w:locked/>
    <w:rsid w:val="00574F8A"/>
    <w:rPr>
      <w:rFonts w:cs="Calibri"/>
    </w:rPr>
  </w:style>
  <w:style w:type="paragraph" w:customStyle="1" w:styleId="Cuerpodeltexto0">
    <w:name w:val="Cuerpo del texto"/>
    <w:basedOn w:val="Normal"/>
    <w:link w:val="Cuerpodeltexto"/>
    <w:rsid w:val="00574F8A"/>
    <w:pPr>
      <w:widowControl w:val="0"/>
      <w:spacing w:after="240"/>
      <w:jc w:val="left"/>
    </w:pPr>
    <w:rPr>
      <w:rFonts w:ascii="Calibri" w:hAnsi="Calibri" w:cs="Calibri"/>
      <w:szCs w:val="20"/>
      <w:lang w:eastAsia="es-ES_tradnl"/>
    </w:rPr>
  </w:style>
  <w:style w:type="paragraph" w:customStyle="1" w:styleId="Default">
    <w:name w:val="Default"/>
    <w:uiPriority w:val="99"/>
    <w:rsid w:val="00574F8A"/>
    <w:pPr>
      <w:autoSpaceDE w:val="0"/>
      <w:autoSpaceDN w:val="0"/>
      <w:adjustRightInd w:val="0"/>
    </w:pPr>
    <w:rPr>
      <w:rFonts w:eastAsiaTheme="minorHAnsi" w:cs="Calibri"/>
      <w:color w:val="000000"/>
      <w:sz w:val="24"/>
      <w:szCs w:val="24"/>
      <w:lang w:eastAsia="en-US"/>
    </w:rPr>
  </w:style>
  <w:style w:type="character" w:styleId="Mencinsinresolver">
    <w:name w:val="Unresolved Mention"/>
    <w:basedOn w:val="Fuentedeprrafopredeter"/>
    <w:uiPriority w:val="99"/>
    <w:semiHidden/>
    <w:unhideWhenUsed/>
    <w:rsid w:val="00493C66"/>
    <w:rPr>
      <w:color w:val="605E5C"/>
      <w:shd w:val="clear" w:color="auto" w:fill="E1DFDD"/>
    </w:rPr>
  </w:style>
  <w:style w:type="character" w:styleId="Hipervnculovisitado">
    <w:name w:val="FollowedHyperlink"/>
    <w:basedOn w:val="Fuentedeprrafopredeter"/>
    <w:uiPriority w:val="99"/>
    <w:semiHidden/>
    <w:unhideWhenUsed/>
    <w:rsid w:val="00B37DA9"/>
    <w:rPr>
      <w:color w:val="954F72" w:themeColor="followedHyperlink"/>
      <w:u w:val="single"/>
    </w:rPr>
  </w:style>
  <w:style w:type="character" w:customStyle="1" w:styleId="Ttulo3Car">
    <w:name w:val="Título 3 Car"/>
    <w:basedOn w:val="Fuentedeprrafopredeter"/>
    <w:link w:val="Ttulo3"/>
    <w:uiPriority w:val="9"/>
    <w:semiHidden/>
    <w:rsid w:val="000A0585"/>
    <w:rPr>
      <w:rFonts w:asciiTheme="majorHAnsi" w:eastAsiaTheme="majorEastAsia" w:hAnsiTheme="majorHAnsi" w:cstheme="majorBidi"/>
      <w:color w:val="1F3763" w:themeColor="accent1" w:themeShade="7F"/>
      <w:sz w:val="24"/>
      <w:szCs w:val="24"/>
      <w:lang w:eastAsia="en-US"/>
    </w:rPr>
  </w:style>
  <w:style w:type="character" w:styleId="Refdecomentario">
    <w:name w:val="annotation reference"/>
    <w:basedOn w:val="Fuentedeprrafopredeter"/>
    <w:uiPriority w:val="99"/>
    <w:semiHidden/>
    <w:unhideWhenUsed/>
    <w:rsid w:val="002F00EA"/>
    <w:rPr>
      <w:sz w:val="16"/>
      <w:szCs w:val="16"/>
    </w:rPr>
  </w:style>
  <w:style w:type="paragraph" w:styleId="Textocomentario">
    <w:name w:val="annotation text"/>
    <w:basedOn w:val="Normal"/>
    <w:link w:val="TextocomentarioCar"/>
    <w:uiPriority w:val="99"/>
    <w:semiHidden/>
    <w:unhideWhenUsed/>
    <w:rsid w:val="002F00EA"/>
    <w:rPr>
      <w:szCs w:val="20"/>
    </w:rPr>
  </w:style>
  <w:style w:type="character" w:customStyle="1" w:styleId="TextocomentarioCar">
    <w:name w:val="Texto comentario Car"/>
    <w:basedOn w:val="Fuentedeprrafopredeter"/>
    <w:link w:val="Textocomentario"/>
    <w:uiPriority w:val="99"/>
    <w:semiHidden/>
    <w:rsid w:val="002F00EA"/>
    <w:rPr>
      <w:rFonts w:ascii="Poppins" w:hAnsi="Poppins"/>
      <w:lang w:eastAsia="en-US"/>
    </w:rPr>
  </w:style>
  <w:style w:type="paragraph" w:styleId="Asuntodelcomentario">
    <w:name w:val="annotation subject"/>
    <w:basedOn w:val="Textocomentario"/>
    <w:next w:val="Textocomentario"/>
    <w:link w:val="AsuntodelcomentarioCar"/>
    <w:uiPriority w:val="99"/>
    <w:semiHidden/>
    <w:unhideWhenUsed/>
    <w:rsid w:val="002F00EA"/>
    <w:rPr>
      <w:b/>
      <w:bCs/>
    </w:rPr>
  </w:style>
  <w:style w:type="character" w:customStyle="1" w:styleId="AsuntodelcomentarioCar">
    <w:name w:val="Asunto del comentario Car"/>
    <w:basedOn w:val="TextocomentarioCar"/>
    <w:link w:val="Asuntodelcomentario"/>
    <w:uiPriority w:val="99"/>
    <w:semiHidden/>
    <w:rsid w:val="002F00EA"/>
    <w:rPr>
      <w:rFonts w:ascii="Poppins" w:hAnsi="Poppins"/>
      <w:b/>
      <w:bCs/>
      <w:lang w:eastAsia="en-US"/>
    </w:rPr>
  </w:style>
  <w:style w:type="paragraph" w:styleId="Revisin">
    <w:name w:val="Revision"/>
    <w:hidden/>
    <w:uiPriority w:val="99"/>
    <w:semiHidden/>
    <w:rsid w:val="00BF676F"/>
    <w:rPr>
      <w:rFonts w:ascii="Poppins" w:hAnsi="Poppin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45">
      <w:bodyDiv w:val="1"/>
      <w:marLeft w:val="0"/>
      <w:marRight w:val="0"/>
      <w:marTop w:val="0"/>
      <w:marBottom w:val="0"/>
      <w:divBdr>
        <w:top w:val="none" w:sz="0" w:space="0" w:color="auto"/>
        <w:left w:val="none" w:sz="0" w:space="0" w:color="auto"/>
        <w:bottom w:val="none" w:sz="0" w:space="0" w:color="auto"/>
        <w:right w:val="none" w:sz="0" w:space="0" w:color="auto"/>
      </w:divBdr>
    </w:div>
    <w:div w:id="112596277">
      <w:bodyDiv w:val="1"/>
      <w:marLeft w:val="0"/>
      <w:marRight w:val="0"/>
      <w:marTop w:val="0"/>
      <w:marBottom w:val="0"/>
      <w:divBdr>
        <w:top w:val="none" w:sz="0" w:space="0" w:color="auto"/>
        <w:left w:val="none" w:sz="0" w:space="0" w:color="auto"/>
        <w:bottom w:val="none" w:sz="0" w:space="0" w:color="auto"/>
        <w:right w:val="none" w:sz="0" w:space="0" w:color="auto"/>
      </w:divBdr>
    </w:div>
    <w:div w:id="535314220">
      <w:bodyDiv w:val="1"/>
      <w:marLeft w:val="0"/>
      <w:marRight w:val="0"/>
      <w:marTop w:val="0"/>
      <w:marBottom w:val="0"/>
      <w:divBdr>
        <w:top w:val="none" w:sz="0" w:space="0" w:color="auto"/>
        <w:left w:val="none" w:sz="0" w:space="0" w:color="auto"/>
        <w:bottom w:val="none" w:sz="0" w:space="0" w:color="auto"/>
        <w:right w:val="none" w:sz="0" w:space="0" w:color="auto"/>
      </w:divBdr>
    </w:div>
    <w:div w:id="1156801590">
      <w:bodyDiv w:val="1"/>
      <w:marLeft w:val="0"/>
      <w:marRight w:val="0"/>
      <w:marTop w:val="0"/>
      <w:marBottom w:val="0"/>
      <w:divBdr>
        <w:top w:val="none" w:sz="0" w:space="0" w:color="auto"/>
        <w:left w:val="none" w:sz="0" w:space="0" w:color="auto"/>
        <w:bottom w:val="none" w:sz="0" w:space="0" w:color="auto"/>
        <w:right w:val="none" w:sz="0" w:space="0" w:color="auto"/>
      </w:divBdr>
    </w:div>
    <w:div w:id="1172184933">
      <w:bodyDiv w:val="1"/>
      <w:marLeft w:val="0"/>
      <w:marRight w:val="0"/>
      <w:marTop w:val="0"/>
      <w:marBottom w:val="0"/>
      <w:divBdr>
        <w:top w:val="none" w:sz="0" w:space="0" w:color="auto"/>
        <w:left w:val="none" w:sz="0" w:space="0" w:color="auto"/>
        <w:bottom w:val="none" w:sz="0" w:space="0" w:color="auto"/>
        <w:right w:val="none" w:sz="0" w:space="0" w:color="auto"/>
      </w:divBdr>
    </w:div>
    <w:div w:id="20680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system/files/2023-12/Recommendation_draft_updated_NECP_Spain_2023.pdf" TargetMode="External"/><Relationship Id="rId3" Type="http://schemas.openxmlformats.org/officeDocument/2006/relationships/settings" Target="settings.xml"/><Relationship Id="rId7" Type="http://schemas.openxmlformats.org/officeDocument/2006/relationships/hyperlink" Target="https://commission.europa.eu/publications/commission-eu-wide-assessment-draft-updated-necp-2023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1649</Words>
  <Characters>9071</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Wasabi</dc:creator>
  <cp:keywords/>
  <dc:description/>
  <cp:lastModifiedBy>Riestra López, Cristina</cp:lastModifiedBy>
  <cp:revision>2</cp:revision>
  <cp:lastPrinted>2020-08-03T11:36:00Z</cp:lastPrinted>
  <dcterms:created xsi:type="dcterms:W3CDTF">2023-12-28T07:56:00Z</dcterms:created>
  <dcterms:modified xsi:type="dcterms:W3CDTF">2023-12-28T07:56:00Z</dcterms:modified>
</cp:coreProperties>
</file>